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sz w:val="36"/>
          <w:szCs w:val="36"/>
        </w:rPr>
      </w:pPr>
    </w:p>
    <w:tbl>
      <w:tblPr>
        <w:tblStyle w:val="5"/>
        <w:tblW w:w="210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670"/>
        <w:gridCol w:w="812"/>
        <w:gridCol w:w="909"/>
        <w:gridCol w:w="1056"/>
        <w:gridCol w:w="2872"/>
        <w:gridCol w:w="1036"/>
        <w:gridCol w:w="1255"/>
        <w:gridCol w:w="1295"/>
        <w:gridCol w:w="754"/>
        <w:gridCol w:w="948"/>
        <w:gridCol w:w="683"/>
        <w:gridCol w:w="567"/>
        <w:gridCol w:w="669"/>
        <w:gridCol w:w="582"/>
        <w:gridCol w:w="482"/>
        <w:gridCol w:w="1891"/>
        <w:gridCol w:w="1134"/>
        <w:gridCol w:w="1960"/>
        <w:gridCol w:w="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Header/>
        </w:trPr>
        <w:tc>
          <w:tcPr>
            <w:tcW w:w="21036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eastAsia"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w w:val="95"/>
                <w:sz w:val="36"/>
                <w:szCs w:val="36"/>
                <w:lang w:eastAsia="zh-CN"/>
              </w:rPr>
              <w:t>沅江市</w:t>
            </w:r>
            <w:bookmarkStart w:id="0" w:name="_GoBack"/>
            <w:bookmarkEnd w:id="0"/>
            <w:r>
              <w:rPr>
                <w:rFonts w:hint="eastAsia" w:ascii="方正小标宋简体" w:eastAsia="方正小标宋简体"/>
                <w:w w:val="95"/>
                <w:sz w:val="36"/>
                <w:szCs w:val="36"/>
                <w:lang w:eastAsia="zh-CN"/>
              </w:rPr>
              <w:t>财政预决算领域基层政务公开事项目录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Header/>
        </w:trPr>
        <w:tc>
          <w:tcPr>
            <w:tcW w:w="5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序号</w:t>
            </w:r>
          </w:p>
        </w:tc>
        <w:tc>
          <w:tcPr>
            <w:tcW w:w="148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公开事项</w:t>
            </w:r>
          </w:p>
        </w:tc>
        <w:tc>
          <w:tcPr>
            <w:tcW w:w="90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事项类型</w:t>
            </w:r>
          </w:p>
        </w:tc>
        <w:tc>
          <w:tcPr>
            <w:tcW w:w="105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/>
                <w:sz w:val="15"/>
                <w:szCs w:val="15"/>
                <w:lang w:eastAsia="zh-CN"/>
              </w:rPr>
              <w:t>对应本级政务服务事项名称</w:t>
            </w:r>
          </w:p>
        </w:tc>
        <w:tc>
          <w:tcPr>
            <w:tcW w:w="287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公开内容（要素）</w:t>
            </w:r>
          </w:p>
        </w:tc>
        <w:tc>
          <w:tcPr>
            <w:tcW w:w="103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公开内容标题</w:t>
            </w:r>
          </w:p>
        </w:tc>
        <w:tc>
          <w:tcPr>
            <w:tcW w:w="125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公开内容上传形式</w:t>
            </w:r>
          </w:p>
        </w:tc>
        <w:tc>
          <w:tcPr>
            <w:tcW w:w="129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公开依据</w:t>
            </w:r>
          </w:p>
        </w:tc>
        <w:tc>
          <w:tcPr>
            <w:tcW w:w="75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ind w:left="21" w:leftChars="10" w:right="21" w:rightChars="10"/>
              <w:jc w:val="center"/>
              <w:rPr>
                <w:rFonts w:hint="eastAsia" w:ascii="黑体" w:hAnsi="黑体" w:eastAsia="黑体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</w:t>
            </w:r>
          </w:p>
          <w:p>
            <w:pPr>
              <w:pStyle w:val="12"/>
              <w:overflowPunct w:val="0"/>
              <w:spacing w:line="240" w:lineRule="exact"/>
              <w:ind w:left="21" w:leftChars="10" w:right="21" w:rightChars="10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时限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公开主体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公开对象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公开方式</w:t>
            </w:r>
          </w:p>
        </w:tc>
        <w:tc>
          <w:tcPr>
            <w:tcW w:w="482" w:type="dxa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</w:t>
            </w:r>
          </w:p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层级1</w:t>
            </w:r>
          </w:p>
        </w:tc>
        <w:tc>
          <w:tcPr>
            <w:tcW w:w="189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/>
                <w:sz w:val="15"/>
                <w:szCs w:val="15"/>
                <w:lang w:eastAsia="zh-CN"/>
              </w:rPr>
              <w:t>公开渠道和载体1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公开层级2</w:t>
            </w:r>
          </w:p>
        </w:tc>
        <w:tc>
          <w:tcPr>
            <w:tcW w:w="196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/>
                <w:sz w:val="15"/>
                <w:szCs w:val="15"/>
                <w:lang w:eastAsia="zh-CN"/>
              </w:rPr>
              <w:t>公开渠道和载体2</w:t>
            </w:r>
          </w:p>
        </w:tc>
        <w:tc>
          <w:tcPr>
            <w:tcW w:w="9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tblHeader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70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一级事项</w:t>
            </w:r>
          </w:p>
        </w:tc>
        <w:tc>
          <w:tcPr>
            <w:tcW w:w="812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二级事项</w:t>
            </w: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全社会</w:t>
            </w:r>
          </w:p>
        </w:tc>
        <w:tc>
          <w:tcPr>
            <w:tcW w:w="567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特定</w:t>
            </w:r>
          </w:p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群体</w:t>
            </w:r>
          </w:p>
        </w:tc>
        <w:tc>
          <w:tcPr>
            <w:tcW w:w="669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主动</w:t>
            </w:r>
          </w:p>
        </w:tc>
        <w:tc>
          <w:tcPr>
            <w:tcW w:w="582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/>
                <w:sz w:val="15"/>
                <w:szCs w:val="15"/>
                <w:lang w:eastAsia="zh-CN"/>
              </w:rPr>
              <w:t>依</w:t>
            </w:r>
            <w:r>
              <w:rPr>
                <w:rFonts w:hint="eastAsia" w:ascii="黑体" w:hAnsi="黑体" w:eastAsia="黑体"/>
                <w:sz w:val="15"/>
                <w:szCs w:val="15"/>
              </w:rPr>
              <w:t>申请</w:t>
            </w:r>
            <w:r>
              <w:rPr>
                <w:rFonts w:hint="eastAsia" w:ascii="黑体" w:hAnsi="黑体" w:eastAsia="黑体"/>
                <w:sz w:val="15"/>
                <w:szCs w:val="15"/>
                <w:lang w:eastAsia="zh-CN"/>
              </w:rPr>
              <w:t>公开</w:t>
            </w:r>
          </w:p>
        </w:tc>
        <w:tc>
          <w:tcPr>
            <w:tcW w:w="482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县级</w:t>
            </w: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黑体" w:hAnsi="黑体" w:eastAsia="黑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乡级</w:t>
            </w: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黑体" w:hAnsi="黑体" w:eastAsia="黑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黑体" w:hAnsi="黑体" w:eastAsia="黑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540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1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财政预决算</w:t>
            </w:r>
          </w:p>
        </w:tc>
        <w:tc>
          <w:tcPr>
            <w:tcW w:w="812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政府预算</w:t>
            </w:r>
          </w:p>
        </w:tc>
        <w:tc>
          <w:tcPr>
            <w:tcW w:w="909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非政务服务事项</w:t>
            </w:r>
          </w:p>
        </w:tc>
        <w:tc>
          <w:tcPr>
            <w:tcW w:w="1056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一般公共预算：①一般公共预算收入表</w:t>
            </w:r>
          </w:p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。②一般公共预算支出表。③一般公共预算本级支出表。④一般公共预算本级基本支出表。⑤一般公共预算税收返还和转移支付表。⑥政府一般债务限额和余额情况表。</w:t>
            </w:r>
          </w:p>
        </w:tc>
        <w:tc>
          <w:tcPr>
            <w:tcW w:w="1036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政府预算</w:t>
            </w:r>
          </w:p>
        </w:tc>
        <w:tc>
          <w:tcPr>
            <w:tcW w:w="1255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fldChar w:fldCharType="begin"/>
            </w:r>
            <w:r>
              <w:instrText xml:space="preserve"> HYPERLINK "http://www.yuanjiang.gov.cn/20314/index.htm" </w:instrText>
            </w:r>
            <w:r>
              <w:fldChar w:fldCharType="separate"/>
            </w:r>
            <w:r>
              <w:rPr>
                <w:rStyle w:val="8"/>
                <w:sz w:val="15"/>
                <w:szCs w:val="15"/>
              </w:rPr>
              <w:t>http://www.yuanjiang.gov.cn/20314/index.htm</w:t>
            </w:r>
            <w:r>
              <w:rPr>
                <w:rStyle w:val="8"/>
                <w:sz w:val="15"/>
                <w:szCs w:val="15"/>
              </w:rPr>
              <w:fldChar w:fldCharType="end"/>
            </w:r>
          </w:p>
        </w:tc>
        <w:tc>
          <w:tcPr>
            <w:tcW w:w="1295" w:type="dxa"/>
            <w:vMerge w:val="restart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《中华人民共和国预算法》、《中华人民共和国政府信息公开条例》、《财政部关于印发&lt;地方预决算公开操作规程的通知&gt;》（财预〔2016〕143号）、《财政部关于印发&lt;地方政府债务信息公开办法（试行）&gt;的通知》（财预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〔2018〕209号）等法律法规和文件规定</w:t>
            </w:r>
          </w:p>
        </w:tc>
        <w:tc>
          <w:tcPr>
            <w:tcW w:w="754" w:type="dxa"/>
            <w:vMerge w:val="restart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本级人民代表大会或其常务委员会批准后20日内</w:t>
            </w:r>
          </w:p>
        </w:tc>
        <w:tc>
          <w:tcPr>
            <w:tcW w:w="948" w:type="dxa"/>
            <w:vMerge w:val="restart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>沅江市</w:t>
            </w:r>
            <w:r>
              <w:rPr>
                <w:rFonts w:hint="eastAsia"/>
                <w:sz w:val="15"/>
                <w:szCs w:val="15"/>
                <w:lang w:eastAsia="zh-CN"/>
              </w:rPr>
              <w:t>财政局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pStyle w:val="12"/>
              <w:overflowPunct w:val="0"/>
              <w:spacing w:line="240" w:lineRule="exact"/>
              <w:ind w:left="42" w:leftChars="20" w:right="42" w:rightChars="20"/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12"/>
              <w:overflowPunct w:val="0"/>
              <w:spacing w:line="240" w:lineRule="exact"/>
              <w:ind w:left="42" w:leftChars="20" w:right="42" w:rightChars="20"/>
              <w:jc w:val="both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restart"/>
            <w:vAlign w:val="center"/>
          </w:tcPr>
          <w:p>
            <w:pPr>
              <w:pStyle w:val="12"/>
              <w:overflowPunct w:val="0"/>
              <w:spacing w:line="240" w:lineRule="exact"/>
              <w:ind w:left="42" w:leftChars="20" w:right="42" w:rightChars="20"/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82" w:type="dxa"/>
            <w:vMerge w:val="restart"/>
            <w:vAlign w:val="center"/>
          </w:tcPr>
          <w:p>
            <w:pPr>
              <w:pStyle w:val="12"/>
              <w:overflowPunct w:val="0"/>
              <w:spacing w:line="240" w:lineRule="exact"/>
              <w:ind w:left="42" w:leftChars="20" w:right="42" w:rightChars="20"/>
              <w:jc w:val="both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restart"/>
            <w:vAlign w:val="center"/>
          </w:tcPr>
          <w:p>
            <w:pPr>
              <w:pStyle w:val="12"/>
              <w:overflowPunct w:val="0"/>
              <w:spacing w:line="240" w:lineRule="exact"/>
              <w:ind w:left="42" w:leftChars="20" w:right="42" w:rightChars="20"/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1891" w:type="dxa"/>
            <w:vMerge w:val="restart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■政府网站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w w:val="105"/>
                <w:sz w:val="15"/>
                <w:szCs w:val="15"/>
              </w:rPr>
              <w:t>□政府公报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□两微一端□发布会/听证会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□广播电视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w w:val="105"/>
                <w:sz w:val="15"/>
                <w:szCs w:val="15"/>
              </w:rPr>
              <w:t>□纸质媒体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>□</w:t>
            </w:r>
            <w:r>
              <w:rPr>
                <w:w w:val="105"/>
                <w:sz w:val="15"/>
                <w:szCs w:val="15"/>
              </w:rPr>
              <w:t>便民服务站□入户/现场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□社区/企事业单位/村公示栏</w:t>
            </w:r>
            <w:r>
              <w:rPr>
                <w:sz w:val="15"/>
                <w:szCs w:val="15"/>
              </w:rPr>
              <w:t>（电子屏）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□精准推送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■财政部门网站公开平台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各区县</w:t>
            </w:r>
            <w:r>
              <w:rPr>
                <w:sz w:val="15"/>
                <w:szCs w:val="15"/>
              </w:rPr>
              <w:t>（市）政府组织下辖乡镇（街道）据实梳理、</w:t>
            </w:r>
            <w:r>
              <w:rPr>
                <w:w w:val="105"/>
                <w:sz w:val="15"/>
                <w:szCs w:val="15"/>
              </w:rPr>
              <w:t>填报</w:t>
            </w:r>
          </w:p>
        </w:tc>
        <w:tc>
          <w:tcPr>
            <w:tcW w:w="1960" w:type="dxa"/>
            <w:vMerge w:val="restart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□政府网站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w w:val="105"/>
                <w:sz w:val="15"/>
                <w:szCs w:val="15"/>
              </w:rPr>
              <w:t>□政府公报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□两微一端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w w:val="105"/>
                <w:sz w:val="15"/>
                <w:szCs w:val="15"/>
              </w:rPr>
              <w:t>□发布会/听证会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□广播电视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  </w:t>
            </w:r>
            <w:r>
              <w:rPr>
                <w:w w:val="105"/>
                <w:sz w:val="15"/>
                <w:szCs w:val="15"/>
              </w:rPr>
              <w:t>□纸质媒体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□便民服务站□入户/现场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□社区/企事业单位/村公示栏</w:t>
            </w:r>
            <w:r>
              <w:rPr>
                <w:sz w:val="15"/>
                <w:szCs w:val="15"/>
              </w:rPr>
              <w:t>（电子屏）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□精准推送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□财政部门网站公开平台</w:t>
            </w:r>
          </w:p>
        </w:tc>
        <w:tc>
          <w:tcPr>
            <w:tcW w:w="921" w:type="dxa"/>
            <w:vMerge w:val="restart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rFonts w:hint="eastAsia" w:eastAsia="宋体"/>
                <w:sz w:val="15"/>
                <w:szCs w:val="15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政府性基金预算：①政府性基金收入表</w:t>
            </w:r>
          </w:p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。②政府性基金支出表。③本级政府性基金支出表。④政府性基金转移支付表</w:t>
            </w:r>
          </w:p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。⑤政府专项债务限额和余额情况表。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国有资本经营预算：①国有资本经营预算收入表。②国有资本经营预算支出表</w:t>
            </w:r>
          </w:p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。③本级国有资本经营预算支出表。④对下安排转移支付的应当公开国有资本经营预算转移支付表。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社会保险基金预算：①社会保险基金收入表。②社会保险基金支出表。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</w:t>
            </w:r>
          </w:p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公开。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对财政转移支付安排、举借政府债务等重要事项进行解释、说明，并公开重大政策和重点项目等绩效目标。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地方本级汇总的一般公共预算“三公”经费，包括预算总额，以及“因公出国</w:t>
            </w:r>
          </w:p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（境）费”“公务用车购置及运行费”</w:t>
            </w:r>
          </w:p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（区分“公务用车购置费”“公务用车运行费”两项）、“公务接待费”分项数额，并对增减变化情况进行说明。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地方政府债务限额、余额、使用安排及还本付息等信息，包括：①随同预算公开上一年度本地区、本级及所属地区地方政府债务限额及余额（或余额预计执行数），以及本地区和本级上一年度地方政府债券（含再融资债券）发行及还本付息额（或预计执行数）、本年度地方政府债券还本付息预算数等；②随同调整预算公开当年本地区及本级地方政府债务限额、本级新增地方政府债券资金使用安排等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没有数据的表格应当列出空表并说明。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540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2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财政预决算</w:t>
            </w:r>
          </w:p>
        </w:tc>
        <w:tc>
          <w:tcPr>
            <w:tcW w:w="812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政府决算</w:t>
            </w:r>
          </w:p>
        </w:tc>
        <w:tc>
          <w:tcPr>
            <w:tcW w:w="909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非政务服务事项</w:t>
            </w:r>
          </w:p>
        </w:tc>
        <w:tc>
          <w:tcPr>
            <w:tcW w:w="1056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一般公共预算：①一般公共预算收入表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。②一般公共预算支出表。③一般公共预算本级支出表。④一般公共预算本级基本支出表。⑤一般公共预算税收返还和转移支付表。⑥政府一般债务限额和余额情况表。</w:t>
            </w:r>
          </w:p>
        </w:tc>
        <w:tc>
          <w:tcPr>
            <w:tcW w:w="1036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w w:val="105"/>
                <w:sz w:val="15"/>
                <w:szCs w:val="15"/>
              </w:rPr>
              <w:t>政府决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>算</w:t>
            </w:r>
          </w:p>
        </w:tc>
        <w:tc>
          <w:tcPr>
            <w:tcW w:w="1255" w:type="dxa"/>
            <w:vMerge w:val="restart"/>
            <w:vAlign w:val="center"/>
          </w:tcPr>
          <w:p>
            <w:pPr>
              <w:pStyle w:val="12"/>
              <w:spacing w:line="240" w:lineRule="exact"/>
              <w:ind w:left="88" w:right="5" w:hanging="40"/>
              <w:jc w:val="center"/>
              <w:rPr>
                <w:sz w:val="15"/>
                <w:szCs w:val="15"/>
              </w:rPr>
            </w:pPr>
            <w:r>
              <w:fldChar w:fldCharType="begin"/>
            </w:r>
            <w:r>
              <w:instrText xml:space="preserve"> HYPERLINK "http://www.yuanjiang.gov.cn/20314/index.htm" </w:instrText>
            </w:r>
            <w:r>
              <w:fldChar w:fldCharType="separate"/>
            </w:r>
            <w:r>
              <w:rPr>
                <w:rStyle w:val="8"/>
                <w:sz w:val="15"/>
                <w:szCs w:val="15"/>
              </w:rPr>
              <w:t>http://www.yuanjiang.gov.cn/20314/index.htm</w:t>
            </w:r>
            <w:r>
              <w:rPr>
                <w:rStyle w:val="8"/>
                <w:sz w:val="15"/>
                <w:szCs w:val="15"/>
              </w:rPr>
              <w:fldChar w:fldCharType="end"/>
            </w:r>
          </w:p>
        </w:tc>
        <w:tc>
          <w:tcPr>
            <w:tcW w:w="1295" w:type="dxa"/>
            <w:vMerge w:val="restart"/>
            <w:vAlign w:val="center"/>
          </w:tcPr>
          <w:p>
            <w:pPr>
              <w:pStyle w:val="12"/>
              <w:spacing w:line="240" w:lineRule="exact"/>
              <w:ind w:left="35" w:right="10" w:hanging="3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《中华人民共和国预算法》、《中华人民共和国政府信息公开条例》、《财政部关于印发&lt;地方预决算公开操作规程的通知&gt;》（财预〔2016〕143号）、《财政部关于印发&lt;地方政府债务信息公开办法（试行）&gt;的通知》（财预〔2018〕209号）等法律法规和文件规定</w:t>
            </w:r>
          </w:p>
        </w:tc>
        <w:tc>
          <w:tcPr>
            <w:tcW w:w="754" w:type="dxa"/>
            <w:vMerge w:val="restart"/>
            <w:vAlign w:val="center"/>
          </w:tcPr>
          <w:p>
            <w:pPr>
              <w:pStyle w:val="12"/>
              <w:spacing w:line="240" w:lineRule="exact"/>
              <w:ind w:left="89" w:right="64" w:firstLine="2"/>
              <w:jc w:val="center"/>
              <w:rPr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本级人民代表大会或其常务委员会批准后</w:t>
            </w:r>
            <w:r>
              <w:rPr>
                <w:w w:val="105"/>
                <w:sz w:val="15"/>
                <w:szCs w:val="15"/>
              </w:rPr>
              <w:t>20</w:t>
            </w:r>
            <w:r>
              <w:rPr>
                <w:spacing w:val="-8"/>
                <w:w w:val="105"/>
                <w:sz w:val="15"/>
                <w:szCs w:val="15"/>
              </w:rPr>
              <w:t>日内</w:t>
            </w:r>
          </w:p>
        </w:tc>
        <w:tc>
          <w:tcPr>
            <w:tcW w:w="948" w:type="dxa"/>
            <w:vMerge w:val="restart"/>
            <w:vAlign w:val="center"/>
          </w:tcPr>
          <w:p>
            <w:pPr>
              <w:pStyle w:val="12"/>
              <w:spacing w:line="240" w:lineRule="exact"/>
              <w:ind w:left="89" w:right="32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>沅江市</w:t>
            </w:r>
            <w:r>
              <w:rPr>
                <w:rFonts w:hint="eastAsia"/>
                <w:sz w:val="15"/>
                <w:szCs w:val="15"/>
                <w:lang w:eastAsia="zh-CN"/>
              </w:rPr>
              <w:t>财政局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pStyle w:val="12"/>
              <w:spacing w:line="240" w:lineRule="exact"/>
              <w:ind w:left="19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67" w:type="dxa"/>
            <w:vMerge w:val="restart"/>
          </w:tcPr>
          <w:p>
            <w:pPr>
              <w:pStyle w:val="12"/>
              <w:spacing w:line="240" w:lineRule="exact"/>
              <w:rPr>
                <w:sz w:val="15"/>
                <w:szCs w:val="15"/>
              </w:rPr>
            </w:pPr>
          </w:p>
        </w:tc>
        <w:tc>
          <w:tcPr>
            <w:tcW w:w="669" w:type="dxa"/>
            <w:vMerge w:val="restart"/>
            <w:vAlign w:val="center"/>
          </w:tcPr>
          <w:p>
            <w:pPr>
              <w:pStyle w:val="12"/>
              <w:spacing w:line="240" w:lineRule="exact"/>
              <w:ind w:left="21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82" w:type="dxa"/>
            <w:vMerge w:val="restart"/>
          </w:tcPr>
          <w:p>
            <w:pPr>
              <w:pStyle w:val="12"/>
              <w:spacing w:line="240" w:lineRule="exact"/>
              <w:rPr>
                <w:sz w:val="15"/>
                <w:szCs w:val="15"/>
              </w:rPr>
            </w:pPr>
          </w:p>
        </w:tc>
        <w:tc>
          <w:tcPr>
            <w:tcW w:w="482" w:type="dxa"/>
            <w:vMerge w:val="restart"/>
            <w:vAlign w:val="center"/>
          </w:tcPr>
          <w:p>
            <w:pPr>
              <w:pStyle w:val="12"/>
              <w:spacing w:line="240" w:lineRule="exact"/>
              <w:ind w:left="16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1891" w:type="dxa"/>
            <w:vMerge w:val="restart"/>
            <w:vAlign w:val="center"/>
          </w:tcPr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■政府网站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w w:val="105"/>
                <w:sz w:val="15"/>
                <w:szCs w:val="15"/>
              </w:rPr>
              <w:t>□政府公报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□两微一端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w w:val="105"/>
                <w:sz w:val="15"/>
                <w:szCs w:val="15"/>
              </w:rPr>
              <w:t>□发布会/听证会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□广播电视□纸质媒体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□便民服务站□入户/现场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□社区/企事业单位/村公示栏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（电子屏）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□精准推送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■财政部门网站公开平台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12"/>
              <w:spacing w:line="240" w:lineRule="exact"/>
              <w:ind w:left="95" w:right="8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各区县</w:t>
            </w:r>
            <w:r>
              <w:rPr>
                <w:sz w:val="15"/>
                <w:szCs w:val="15"/>
              </w:rPr>
              <w:t>（市）政府组织下辖乡镇（街道）据实梳理、</w:t>
            </w:r>
            <w:r>
              <w:rPr>
                <w:w w:val="105"/>
                <w:sz w:val="15"/>
                <w:szCs w:val="15"/>
              </w:rPr>
              <w:t>填报</w:t>
            </w:r>
          </w:p>
        </w:tc>
        <w:tc>
          <w:tcPr>
            <w:tcW w:w="1960" w:type="dxa"/>
            <w:vMerge w:val="restart"/>
            <w:vAlign w:val="center"/>
          </w:tcPr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□政府网站□政府公报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□两微一端□发布会/听证会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□广播电视□纸质媒体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□便民服务站□入户/现场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□社区/企事业单位/村公示栏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（电子屏）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□精准推送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□财政部门网站公开平台</w:t>
            </w:r>
          </w:p>
        </w:tc>
        <w:tc>
          <w:tcPr>
            <w:tcW w:w="921" w:type="dxa"/>
            <w:vMerge w:val="restart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line="240" w:lineRule="exact"/>
              <w:ind w:right="20" w:rightChars="0"/>
              <w:jc w:val="both"/>
              <w:rPr>
                <w:w w:val="105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政府性基金预算：①政府性基金收入表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。②政府性基金支出表。③本级政府性基金支出表。④政府性基金转移支付表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。⑤政府专项债务限额和余额情况表。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国有资本经营预算：①国有资本经营预算收入表。②国有资本经营预算支出表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。③本级国有资本经营预算支出表。④对下安排转移支付的应当公开国有资本经营预算转移支付表。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社会保险基金预算：①社会保险基金收入表。②社会保险基金支出表。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8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公开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对财政转移支付安排、举借政府债务、预算绩效工作开展情况等重要事项进行解释、说明，并公开重大政策和重点项目绩效执行结果。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地方本级汇总的一般公共预算“三公”经费，包括预算总额，以及“因公出国（境）费”“公务用车购置及运行费”（区分“公务用车购置费”“公务用车运行费”两项）“公务接待费”分项数额，并对增减变化情况（与预算对比）进行说明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地方政府债务限额、余额、使用安排及还本付息等信息，包括：上年末本地区、本级及所属地区地方政府债务限额、余额决算数，地方政府债券发行、还本付息决算数，以及债券资金使用安排等。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没有数据的表格应当列出空表并说明。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540" w:type="dxa"/>
            <w:vMerge w:val="restart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3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财政预决算</w:t>
            </w:r>
          </w:p>
        </w:tc>
        <w:tc>
          <w:tcPr>
            <w:tcW w:w="812" w:type="dxa"/>
            <w:vMerge w:val="restart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部门预算</w:t>
            </w:r>
          </w:p>
        </w:tc>
        <w:tc>
          <w:tcPr>
            <w:tcW w:w="909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非政务服务事项</w:t>
            </w:r>
          </w:p>
        </w:tc>
        <w:tc>
          <w:tcPr>
            <w:tcW w:w="1056" w:type="dxa"/>
            <w:vMerge w:val="restart"/>
          </w:tcPr>
          <w:p>
            <w:pPr>
              <w:pStyle w:val="12"/>
              <w:spacing w:line="240" w:lineRule="exact"/>
              <w:rPr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8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收支总体情况表：①部门收支总体情况表。②部门收入总体情况表。③部门支</w:t>
            </w:r>
            <w:r>
              <w:rPr>
                <w:w w:val="105"/>
                <w:sz w:val="15"/>
                <w:szCs w:val="15"/>
              </w:rPr>
              <w:t>出总体情况表。</w:t>
            </w:r>
          </w:p>
        </w:tc>
        <w:tc>
          <w:tcPr>
            <w:tcW w:w="1036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部门预算</w:t>
            </w:r>
          </w:p>
        </w:tc>
        <w:tc>
          <w:tcPr>
            <w:tcW w:w="1255" w:type="dxa"/>
            <w:vMerge w:val="restart"/>
            <w:vAlign w:val="center"/>
          </w:tcPr>
          <w:p>
            <w:pPr>
              <w:pStyle w:val="12"/>
              <w:spacing w:line="200" w:lineRule="exact"/>
              <w:ind w:left="27" w:right="-44"/>
              <w:jc w:val="center"/>
              <w:rPr>
                <w:w w:val="105"/>
                <w:sz w:val="15"/>
                <w:szCs w:val="15"/>
              </w:rPr>
            </w:pPr>
            <w:r>
              <w:fldChar w:fldCharType="begin"/>
            </w:r>
            <w:r>
              <w:instrText xml:space="preserve"> HYPERLINK "http://www.yuanjiang.gov.cn/20314/index.htm" </w:instrText>
            </w:r>
            <w:r>
              <w:fldChar w:fldCharType="separate"/>
            </w:r>
            <w:r>
              <w:rPr>
                <w:rStyle w:val="8"/>
                <w:sz w:val="15"/>
                <w:szCs w:val="15"/>
              </w:rPr>
              <w:t>http://www.yuanjiang.gov.cn/20314/index.htm</w:t>
            </w:r>
            <w:r>
              <w:rPr>
                <w:rStyle w:val="8"/>
                <w:sz w:val="15"/>
                <w:szCs w:val="15"/>
              </w:rPr>
              <w:fldChar w:fldCharType="end"/>
            </w:r>
          </w:p>
        </w:tc>
        <w:tc>
          <w:tcPr>
            <w:tcW w:w="1295" w:type="dxa"/>
            <w:vMerge w:val="restart"/>
            <w:vAlign w:val="center"/>
          </w:tcPr>
          <w:p>
            <w:pPr>
              <w:pStyle w:val="12"/>
              <w:spacing w:line="200" w:lineRule="exact"/>
              <w:ind w:left="45" w:leftChars="20" w:right="42" w:rightChars="20" w:hanging="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  <w:szCs w:val="15"/>
              </w:rPr>
              <w:t>关于印发&lt;地方预</w:t>
            </w:r>
            <w:r>
              <w:rPr>
                <w:w w:val="105"/>
                <w:sz w:val="15"/>
                <w:szCs w:val="15"/>
              </w:rPr>
              <w:t>决算公开操作规</w:t>
            </w:r>
            <w:r>
              <w:rPr>
                <w:sz w:val="15"/>
                <w:szCs w:val="15"/>
              </w:rPr>
              <w:t>程的通知&gt;》（</w:t>
            </w:r>
            <w:r>
              <w:rPr>
                <w:spacing w:val="-12"/>
                <w:sz w:val="15"/>
                <w:szCs w:val="15"/>
              </w:rPr>
              <w:t>财</w:t>
            </w:r>
            <w:r>
              <w:rPr>
                <w:w w:val="105"/>
                <w:sz w:val="15"/>
                <w:szCs w:val="15"/>
              </w:rPr>
              <w:t>预〔2016〕</w:t>
            </w:r>
            <w:r>
              <w:rPr>
                <w:sz w:val="15"/>
                <w:szCs w:val="15"/>
              </w:rPr>
              <w:t>143号）</w:t>
            </w:r>
            <w:r>
              <w:rPr>
                <w:spacing w:val="-3"/>
                <w:sz w:val="15"/>
                <w:szCs w:val="15"/>
              </w:rPr>
              <w:t>等法律法</w:t>
            </w:r>
            <w:r>
              <w:rPr>
                <w:w w:val="105"/>
                <w:sz w:val="15"/>
                <w:szCs w:val="15"/>
              </w:rPr>
              <w:t>规和文件规定</w:t>
            </w:r>
          </w:p>
        </w:tc>
        <w:tc>
          <w:tcPr>
            <w:tcW w:w="754" w:type="dxa"/>
            <w:vMerge w:val="restart"/>
            <w:vAlign w:val="center"/>
          </w:tcPr>
          <w:p>
            <w:pPr>
              <w:pStyle w:val="12"/>
              <w:spacing w:line="200" w:lineRule="exact"/>
              <w:ind w:left="89" w:right="64" w:firstLine="2"/>
              <w:jc w:val="center"/>
              <w:rPr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本级政府财政部门批</w:t>
            </w:r>
            <w:r>
              <w:rPr>
                <w:w w:val="105"/>
                <w:sz w:val="15"/>
                <w:szCs w:val="15"/>
              </w:rPr>
              <w:t>复后</w:t>
            </w:r>
            <w:r>
              <w:rPr>
                <w:spacing w:val="-7"/>
                <w:w w:val="105"/>
                <w:sz w:val="15"/>
                <w:szCs w:val="15"/>
              </w:rPr>
              <w:t>20</w:t>
            </w:r>
            <w:r>
              <w:rPr>
                <w:w w:val="105"/>
                <w:sz w:val="15"/>
                <w:szCs w:val="15"/>
              </w:rPr>
              <w:t>日内</w:t>
            </w:r>
          </w:p>
        </w:tc>
        <w:tc>
          <w:tcPr>
            <w:tcW w:w="948" w:type="dxa"/>
            <w:vMerge w:val="restart"/>
            <w:vAlign w:val="center"/>
          </w:tcPr>
          <w:p>
            <w:pPr>
              <w:pStyle w:val="12"/>
              <w:spacing w:line="200" w:lineRule="exact"/>
              <w:ind w:left="89" w:right="66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pacing w:val="-5"/>
                <w:w w:val="105"/>
                <w:sz w:val="15"/>
                <w:szCs w:val="15"/>
                <w:lang w:eastAsia="zh-CN"/>
              </w:rPr>
              <w:t>沅江市</w:t>
            </w:r>
            <w:r>
              <w:rPr>
                <w:spacing w:val="-5"/>
                <w:w w:val="105"/>
                <w:sz w:val="15"/>
                <w:szCs w:val="15"/>
              </w:rPr>
              <w:t>各预算</w:t>
            </w:r>
            <w:r>
              <w:rPr>
                <w:w w:val="105"/>
                <w:sz w:val="15"/>
                <w:szCs w:val="15"/>
              </w:rPr>
              <w:t>部门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pStyle w:val="12"/>
              <w:spacing w:line="200" w:lineRule="exact"/>
              <w:ind w:left="19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669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82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482" w:type="dxa"/>
            <w:vMerge w:val="restart"/>
            <w:vAlign w:val="center"/>
          </w:tcPr>
          <w:p>
            <w:pPr>
              <w:pStyle w:val="12"/>
              <w:spacing w:line="200" w:lineRule="exact"/>
              <w:ind w:left="16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1891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■政府网站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 </w:t>
            </w:r>
            <w:r>
              <w:rPr>
                <w:w w:val="105"/>
                <w:sz w:val="15"/>
                <w:szCs w:val="15"/>
              </w:rPr>
              <w:t>□</w:t>
            </w:r>
            <w:r>
              <w:rPr>
                <w:spacing w:val="-5"/>
                <w:w w:val="105"/>
                <w:sz w:val="15"/>
                <w:szCs w:val="15"/>
              </w:rPr>
              <w:t>政府公报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□两微一端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 </w:t>
            </w:r>
            <w:r>
              <w:rPr>
                <w:spacing w:val="-5"/>
                <w:w w:val="105"/>
                <w:sz w:val="15"/>
                <w:szCs w:val="15"/>
              </w:rPr>
              <w:t>□发布会/听证会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□广播电视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 </w:t>
            </w:r>
            <w:r>
              <w:rPr>
                <w:spacing w:val="-5"/>
                <w:w w:val="105"/>
                <w:sz w:val="15"/>
                <w:szCs w:val="15"/>
              </w:rPr>
              <w:t>□纸质媒体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□便民服务站□入户/现场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□社区/企事业单位/村公示栏（电子屏）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□精准推送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 </w:t>
            </w:r>
            <w:r>
              <w:rPr>
                <w:spacing w:val="-5"/>
                <w:w w:val="105"/>
                <w:sz w:val="15"/>
                <w:szCs w:val="15"/>
              </w:rPr>
              <w:t>■部门网站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织下辖乡镇（</w:t>
            </w:r>
          </w:p>
        </w:tc>
        <w:tc>
          <w:tcPr>
            <w:tcW w:w="1960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□政府网站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</w:t>
            </w:r>
            <w:r>
              <w:rPr>
                <w:spacing w:val="-5"/>
                <w:w w:val="105"/>
                <w:sz w:val="15"/>
                <w:szCs w:val="15"/>
              </w:rPr>
              <w:t>□政府公报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□两微一端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</w:t>
            </w:r>
            <w:r>
              <w:rPr>
                <w:spacing w:val="-5"/>
                <w:w w:val="105"/>
                <w:sz w:val="15"/>
                <w:szCs w:val="15"/>
              </w:rPr>
              <w:t>□发布会/听证会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□广播电视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</w:t>
            </w:r>
            <w:r>
              <w:rPr>
                <w:spacing w:val="-5"/>
                <w:w w:val="105"/>
                <w:sz w:val="15"/>
                <w:szCs w:val="15"/>
              </w:rPr>
              <w:t>□纸质媒体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□公开查阅点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 </w:t>
            </w:r>
            <w:r>
              <w:rPr>
                <w:spacing w:val="-5"/>
                <w:w w:val="105"/>
                <w:sz w:val="15"/>
                <w:szCs w:val="15"/>
              </w:rPr>
              <w:t>□政务服务中心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□便民服务站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 </w:t>
            </w:r>
            <w:r>
              <w:rPr>
                <w:spacing w:val="-5"/>
                <w:w w:val="105"/>
                <w:sz w:val="15"/>
                <w:szCs w:val="15"/>
              </w:rPr>
              <w:t>□入户/现场街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□社区/企事业单位/村公示栏（电子屏）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□精准推送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□部门网站</w:t>
            </w:r>
          </w:p>
        </w:tc>
        <w:tc>
          <w:tcPr>
            <w:tcW w:w="921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7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财政拨款收支情况表：①财政拨款收支总体情况表。②一般公共预算支出情况表。③一般公共预算基本支出情况表。④一般公共预算“三公”经费支出情况</w:t>
            </w:r>
            <w:r>
              <w:rPr>
                <w:w w:val="105"/>
                <w:sz w:val="15"/>
                <w:szCs w:val="15"/>
              </w:rPr>
              <w:t>表。⑤政府性基金预算支出情况表。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w w:val="105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00" w:lineRule="exact"/>
              <w:ind w:left="42" w:leftChars="20" w:right="42" w:rightChars="2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7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一般公共预算支出情况表公开到功能分类项级科目。一般公共预算基本支出表</w:t>
            </w:r>
            <w:r>
              <w:rPr>
                <w:w w:val="105"/>
                <w:sz w:val="15"/>
                <w:szCs w:val="15"/>
              </w:rPr>
              <w:t>公开到经济分类款级科目。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w w:val="105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00" w:lineRule="exact"/>
              <w:ind w:left="42" w:leftChars="20" w:right="42" w:rightChars="2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7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进行说</w:t>
            </w:r>
            <w:r>
              <w:rPr>
                <w:w w:val="105"/>
                <w:sz w:val="15"/>
                <w:szCs w:val="15"/>
              </w:rPr>
              <w:t>明。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w w:val="105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00" w:lineRule="exact"/>
              <w:ind w:left="42" w:leftChars="20" w:right="42" w:rightChars="2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7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本部门职责、机构设置情况、预算收支增减变化、机关运行经费安排以及政府采购（主要包括部门政府采购预算总金</w:t>
            </w:r>
            <w:r>
              <w:rPr>
                <w:w w:val="105"/>
                <w:sz w:val="15"/>
                <w:szCs w:val="15"/>
              </w:rPr>
              <w:t>额和货物、工程、服务采购的预算金</w:t>
            </w:r>
            <w:r>
              <w:rPr>
                <w:sz w:val="15"/>
                <w:szCs w:val="15"/>
              </w:rPr>
              <w:t>额）等情况的说明，并对专业性较强的名词进行解释。结合工作进展情况，逐步公开国有资产占用、重点项目预算的</w:t>
            </w:r>
            <w:r>
              <w:rPr>
                <w:w w:val="105"/>
                <w:sz w:val="15"/>
                <w:szCs w:val="15"/>
              </w:rPr>
              <w:t>绩效目标等情况。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w w:val="105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00" w:lineRule="exact"/>
              <w:ind w:left="42" w:leftChars="20" w:right="42" w:rightChars="2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7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没有数据的表格应当列出空表并说明。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w w:val="105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00" w:lineRule="exact"/>
              <w:ind w:left="42" w:leftChars="20" w:right="42" w:rightChars="2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540" w:type="dxa"/>
            <w:vMerge w:val="restart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w w:val="103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4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pStyle w:val="12"/>
              <w:spacing w:line="240" w:lineRule="exact"/>
              <w:ind w:left="99" w:leftChars="10" w:right="21" w:rightChars="10" w:hanging="78"/>
              <w:jc w:val="center"/>
              <w:rPr>
                <w:rFonts w:hint="eastAsia"/>
                <w:w w:val="103"/>
                <w:sz w:val="15"/>
                <w:szCs w:val="15"/>
                <w:lang w:eastAsia="zh-CN"/>
              </w:rPr>
            </w:pPr>
            <w:r>
              <w:rPr>
                <w:w w:val="103"/>
                <w:sz w:val="15"/>
                <w:szCs w:val="15"/>
              </w:rPr>
              <w:t>财政预</w:t>
            </w:r>
          </w:p>
          <w:p>
            <w:pPr>
              <w:pStyle w:val="12"/>
              <w:spacing w:line="240" w:lineRule="exact"/>
              <w:ind w:left="99" w:leftChars="10" w:right="21" w:rightChars="10" w:hanging="78"/>
              <w:jc w:val="center"/>
              <w:rPr>
                <w:w w:val="103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决算</w:t>
            </w:r>
          </w:p>
        </w:tc>
        <w:tc>
          <w:tcPr>
            <w:tcW w:w="812" w:type="dxa"/>
            <w:vMerge w:val="restart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w w:val="103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部门决算</w:t>
            </w:r>
          </w:p>
        </w:tc>
        <w:tc>
          <w:tcPr>
            <w:tcW w:w="909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w w:val="103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非政务服务事项</w:t>
            </w:r>
          </w:p>
        </w:tc>
        <w:tc>
          <w:tcPr>
            <w:tcW w:w="1056" w:type="dxa"/>
            <w:vMerge w:val="restart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7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收支总体情况表：①部门收支总体情况表。②部门收入总体情况表。③部门支</w:t>
            </w:r>
            <w:r>
              <w:rPr>
                <w:w w:val="105"/>
                <w:sz w:val="15"/>
                <w:szCs w:val="15"/>
              </w:rPr>
              <w:t>出总体情况表。</w:t>
            </w:r>
          </w:p>
        </w:tc>
        <w:tc>
          <w:tcPr>
            <w:tcW w:w="1036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部门决算</w:t>
            </w:r>
          </w:p>
        </w:tc>
        <w:tc>
          <w:tcPr>
            <w:tcW w:w="1255" w:type="dxa"/>
            <w:vMerge w:val="restart"/>
            <w:vAlign w:val="center"/>
          </w:tcPr>
          <w:p>
            <w:pPr>
              <w:pStyle w:val="12"/>
              <w:spacing w:line="200" w:lineRule="exact"/>
              <w:ind w:hanging="3"/>
              <w:jc w:val="center"/>
              <w:rPr>
                <w:w w:val="105"/>
                <w:sz w:val="15"/>
                <w:szCs w:val="15"/>
              </w:rPr>
            </w:pPr>
            <w:r>
              <w:fldChar w:fldCharType="begin"/>
            </w:r>
            <w:r>
              <w:instrText xml:space="preserve"> HYPERLINK "http://www.yuanjiang.gov.cn/20314/index.htm" </w:instrText>
            </w:r>
            <w:r>
              <w:fldChar w:fldCharType="separate"/>
            </w:r>
            <w:r>
              <w:rPr>
                <w:rStyle w:val="8"/>
                <w:sz w:val="15"/>
                <w:szCs w:val="15"/>
              </w:rPr>
              <w:t>http://www.yuanjiang.gov.cn/20314/index.htm</w:t>
            </w:r>
            <w:r>
              <w:rPr>
                <w:rStyle w:val="8"/>
                <w:sz w:val="15"/>
                <w:szCs w:val="15"/>
              </w:rPr>
              <w:fldChar w:fldCharType="end"/>
            </w:r>
          </w:p>
        </w:tc>
        <w:tc>
          <w:tcPr>
            <w:tcW w:w="1295" w:type="dxa"/>
            <w:vMerge w:val="restart"/>
            <w:vAlign w:val="center"/>
          </w:tcPr>
          <w:p>
            <w:pPr>
              <w:pStyle w:val="12"/>
              <w:spacing w:line="200" w:lineRule="exact"/>
              <w:ind w:left="45" w:leftChars="20" w:right="42" w:rightChars="20" w:hanging="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  <w:szCs w:val="15"/>
              </w:rPr>
              <w:t>关于印发&lt;地方预</w:t>
            </w:r>
            <w:r>
              <w:rPr>
                <w:w w:val="105"/>
                <w:sz w:val="15"/>
                <w:szCs w:val="15"/>
              </w:rPr>
              <w:t>决算公开操作规</w:t>
            </w:r>
            <w:r>
              <w:rPr>
                <w:sz w:val="15"/>
                <w:szCs w:val="15"/>
              </w:rPr>
              <w:t>程的通知&gt;》（</w:t>
            </w:r>
            <w:r>
              <w:rPr>
                <w:spacing w:val="-12"/>
                <w:sz w:val="15"/>
                <w:szCs w:val="15"/>
              </w:rPr>
              <w:t>财</w:t>
            </w:r>
            <w:r>
              <w:rPr>
                <w:w w:val="105"/>
                <w:sz w:val="15"/>
                <w:szCs w:val="15"/>
              </w:rPr>
              <w:t>预〔2016〕</w:t>
            </w:r>
            <w:r>
              <w:rPr>
                <w:sz w:val="15"/>
                <w:szCs w:val="15"/>
              </w:rPr>
              <w:t>143号）</w:t>
            </w:r>
            <w:r>
              <w:rPr>
                <w:spacing w:val="-3"/>
                <w:sz w:val="15"/>
                <w:szCs w:val="15"/>
              </w:rPr>
              <w:t>等法律法</w:t>
            </w:r>
            <w:r>
              <w:rPr>
                <w:w w:val="105"/>
                <w:sz w:val="15"/>
                <w:szCs w:val="15"/>
              </w:rPr>
              <w:t>规和文件规定</w:t>
            </w:r>
          </w:p>
        </w:tc>
        <w:tc>
          <w:tcPr>
            <w:tcW w:w="754" w:type="dxa"/>
            <w:vMerge w:val="restart"/>
            <w:vAlign w:val="center"/>
          </w:tcPr>
          <w:p>
            <w:pPr>
              <w:pStyle w:val="12"/>
              <w:spacing w:line="200" w:lineRule="exact"/>
              <w:ind w:left="88" w:right="64" w:firstLine="2"/>
              <w:jc w:val="center"/>
              <w:rPr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本级政</w:t>
            </w:r>
            <w:r>
              <w:rPr>
                <w:spacing w:val="-4"/>
                <w:w w:val="105"/>
                <w:sz w:val="15"/>
                <w:szCs w:val="15"/>
              </w:rPr>
              <w:t>府财政部门批</w:t>
            </w:r>
            <w:r>
              <w:rPr>
                <w:w w:val="105"/>
                <w:sz w:val="15"/>
                <w:szCs w:val="15"/>
              </w:rPr>
              <w:t>复后</w:t>
            </w:r>
            <w:r>
              <w:rPr>
                <w:spacing w:val="-7"/>
                <w:w w:val="105"/>
                <w:sz w:val="15"/>
                <w:szCs w:val="15"/>
              </w:rPr>
              <w:t>20</w:t>
            </w:r>
            <w:r>
              <w:rPr>
                <w:w w:val="105"/>
                <w:sz w:val="15"/>
                <w:szCs w:val="15"/>
              </w:rPr>
              <w:t>日内</w:t>
            </w:r>
          </w:p>
        </w:tc>
        <w:tc>
          <w:tcPr>
            <w:tcW w:w="948" w:type="dxa"/>
            <w:vMerge w:val="restart"/>
            <w:vAlign w:val="center"/>
          </w:tcPr>
          <w:p>
            <w:pPr>
              <w:pStyle w:val="12"/>
              <w:spacing w:line="200" w:lineRule="exact"/>
              <w:ind w:left="89" w:right="66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pacing w:val="-5"/>
                <w:w w:val="105"/>
                <w:sz w:val="15"/>
                <w:szCs w:val="15"/>
                <w:lang w:eastAsia="zh-CN"/>
              </w:rPr>
              <w:t>沅江市</w:t>
            </w:r>
            <w:r>
              <w:rPr>
                <w:spacing w:val="-5"/>
                <w:w w:val="105"/>
                <w:sz w:val="15"/>
                <w:szCs w:val="15"/>
              </w:rPr>
              <w:t>各预算</w:t>
            </w:r>
            <w:r>
              <w:rPr>
                <w:w w:val="105"/>
                <w:sz w:val="15"/>
                <w:szCs w:val="15"/>
              </w:rPr>
              <w:t>部门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pStyle w:val="12"/>
              <w:spacing w:line="200" w:lineRule="exact"/>
              <w:ind w:left="19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82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restart"/>
            <w:vAlign w:val="center"/>
          </w:tcPr>
          <w:p>
            <w:pPr>
              <w:pStyle w:val="12"/>
              <w:spacing w:line="200" w:lineRule="exact"/>
              <w:ind w:left="16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1891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■政府网站□政府公报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hint="eastAsia"/>
                <w:w w:val="105"/>
                <w:sz w:val="15"/>
                <w:szCs w:val="15"/>
                <w:lang w:eastAsia="zh-CN"/>
              </w:rPr>
            </w:pPr>
            <w:r>
              <w:rPr>
                <w:w w:val="105"/>
                <w:sz w:val="15"/>
                <w:szCs w:val="15"/>
              </w:rPr>
              <w:t>□两微一端□发布会/听证会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hint="eastAsia"/>
                <w:w w:val="105"/>
                <w:sz w:val="15"/>
                <w:szCs w:val="15"/>
                <w:lang w:eastAsia="zh-CN"/>
              </w:rPr>
            </w:pPr>
            <w:r>
              <w:rPr>
                <w:w w:val="105"/>
                <w:sz w:val="15"/>
                <w:szCs w:val="15"/>
              </w:rPr>
              <w:t>□纸质媒体□公开查阅点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hint="eastAsia"/>
                <w:w w:val="105"/>
                <w:sz w:val="15"/>
                <w:szCs w:val="15"/>
                <w:lang w:eastAsia="zh-CN"/>
              </w:rPr>
            </w:pPr>
            <w:r>
              <w:rPr>
                <w:w w:val="105"/>
                <w:sz w:val="15"/>
                <w:szCs w:val="15"/>
              </w:rPr>
              <w:t>□政务服务中心□便民服务站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□入户/现场□社区/企事业单位/村公示栏</w:t>
            </w:r>
            <w:r>
              <w:rPr>
                <w:sz w:val="15"/>
                <w:szCs w:val="15"/>
              </w:rPr>
              <w:t>（电子屏）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□精准推送■部门网站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各区县</w:t>
            </w:r>
            <w:r>
              <w:rPr>
                <w:sz w:val="15"/>
                <w:szCs w:val="15"/>
              </w:rPr>
              <w:t>（市）政府组织下辖乡镇（街道）据实梳理、</w:t>
            </w:r>
            <w:r>
              <w:rPr>
                <w:w w:val="105"/>
                <w:sz w:val="15"/>
                <w:szCs w:val="15"/>
              </w:rPr>
              <w:t>填报</w:t>
            </w:r>
          </w:p>
        </w:tc>
        <w:tc>
          <w:tcPr>
            <w:tcW w:w="1960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□政府网站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w w:val="105"/>
                <w:sz w:val="15"/>
                <w:szCs w:val="15"/>
              </w:rPr>
              <w:t>□政府公报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□两微一端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w w:val="105"/>
                <w:sz w:val="15"/>
                <w:szCs w:val="15"/>
              </w:rPr>
              <w:t>□发布会/听证会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□广播电视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w w:val="105"/>
                <w:sz w:val="15"/>
                <w:szCs w:val="15"/>
              </w:rPr>
              <w:t>□纸质媒体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□便民服务站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w w:val="105"/>
                <w:sz w:val="15"/>
                <w:szCs w:val="15"/>
              </w:rPr>
              <w:t>□入户/现场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□社区/企事业单位/村公示栏（电子屏）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□精准推送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□部门网站</w:t>
            </w:r>
          </w:p>
        </w:tc>
        <w:tc>
          <w:tcPr>
            <w:tcW w:w="921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4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8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财政拨款收支情况表：①财政拨款收支总体情况表。②一般公共预算支出情况表。③一般公共预算基本支出情况表。</w:t>
            </w:r>
          </w:p>
          <w:p>
            <w:pPr>
              <w:pStyle w:val="12"/>
              <w:spacing w:line="200" w:lineRule="exact"/>
              <w:ind w:left="28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④一般公共预算“三公”经费支出情况</w:t>
            </w:r>
            <w:r>
              <w:rPr>
                <w:w w:val="105"/>
                <w:sz w:val="15"/>
                <w:szCs w:val="15"/>
              </w:rPr>
              <w:t>表。⑤政府性基金预算支出情况表。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pStyle w:val="12"/>
              <w:spacing w:line="200" w:lineRule="exact"/>
              <w:ind w:hanging="3"/>
              <w:jc w:val="center"/>
              <w:rPr>
                <w:w w:val="105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00" w:lineRule="exact"/>
              <w:ind w:left="42" w:leftChars="20" w:right="42" w:rightChars="2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00" w:lineRule="exact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00" w:lineRule="exact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4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8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一般公共预算支出情况表公开到功能分类项级科目。一般公共预算基本支出表</w:t>
            </w:r>
            <w:r>
              <w:rPr>
                <w:w w:val="105"/>
                <w:sz w:val="15"/>
                <w:szCs w:val="15"/>
              </w:rPr>
              <w:t>公开到经济分类款级科目。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pStyle w:val="12"/>
              <w:spacing w:line="200" w:lineRule="exact"/>
              <w:ind w:hanging="3"/>
              <w:jc w:val="center"/>
              <w:rPr>
                <w:w w:val="105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00" w:lineRule="exact"/>
              <w:ind w:left="42" w:leftChars="20" w:right="42" w:rightChars="2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00" w:lineRule="exact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00" w:lineRule="exact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3" w:hRule="atLeast"/>
        </w:trPr>
        <w:tc>
          <w:tcPr>
            <w:tcW w:w="540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5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财政预决算</w:t>
            </w:r>
          </w:p>
        </w:tc>
        <w:tc>
          <w:tcPr>
            <w:tcW w:w="812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部门决算</w:t>
            </w:r>
          </w:p>
        </w:tc>
        <w:tc>
          <w:tcPr>
            <w:tcW w:w="909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非政务服务事项</w:t>
            </w:r>
          </w:p>
        </w:tc>
        <w:tc>
          <w:tcPr>
            <w:tcW w:w="1056" w:type="dxa"/>
            <w:vMerge w:val="restart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8" w:right="14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（与预</w:t>
            </w:r>
            <w:r>
              <w:rPr>
                <w:w w:val="105"/>
                <w:sz w:val="15"/>
                <w:szCs w:val="15"/>
              </w:rPr>
              <w:t>算对比）进行说明。</w:t>
            </w:r>
          </w:p>
        </w:tc>
        <w:tc>
          <w:tcPr>
            <w:tcW w:w="1036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部门决算</w:t>
            </w:r>
          </w:p>
        </w:tc>
        <w:tc>
          <w:tcPr>
            <w:tcW w:w="1255" w:type="dxa"/>
            <w:vMerge w:val="restart"/>
            <w:vAlign w:val="center"/>
          </w:tcPr>
          <w:p>
            <w:pPr>
              <w:pStyle w:val="12"/>
              <w:spacing w:line="200" w:lineRule="exact"/>
              <w:ind w:hanging="3"/>
              <w:jc w:val="center"/>
              <w:rPr>
                <w:w w:val="105"/>
                <w:sz w:val="15"/>
                <w:szCs w:val="15"/>
              </w:rPr>
            </w:pPr>
            <w:r>
              <w:fldChar w:fldCharType="begin"/>
            </w:r>
            <w:r>
              <w:instrText xml:space="preserve"> HYPERLINK "http://www.yuanjiang.gov.cn/20314/index.htm" </w:instrText>
            </w:r>
            <w:r>
              <w:fldChar w:fldCharType="separate"/>
            </w:r>
            <w:r>
              <w:rPr>
                <w:rStyle w:val="8"/>
                <w:sz w:val="15"/>
                <w:szCs w:val="15"/>
              </w:rPr>
              <w:t>http://www.yuanjiang.gov.cn/20314/index.htm</w:t>
            </w:r>
            <w:r>
              <w:rPr>
                <w:rStyle w:val="8"/>
                <w:sz w:val="15"/>
                <w:szCs w:val="15"/>
              </w:rPr>
              <w:fldChar w:fldCharType="end"/>
            </w:r>
          </w:p>
        </w:tc>
        <w:tc>
          <w:tcPr>
            <w:tcW w:w="1295" w:type="dxa"/>
            <w:vMerge w:val="restart"/>
            <w:vAlign w:val="center"/>
          </w:tcPr>
          <w:p>
            <w:pPr>
              <w:pStyle w:val="12"/>
              <w:spacing w:line="200" w:lineRule="exact"/>
              <w:ind w:left="45" w:leftChars="20" w:right="42" w:rightChars="20" w:hanging="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  <w:szCs w:val="15"/>
              </w:rPr>
              <w:t>关于印发&lt;地方预</w:t>
            </w:r>
            <w:r>
              <w:rPr>
                <w:w w:val="105"/>
                <w:sz w:val="15"/>
                <w:szCs w:val="15"/>
              </w:rPr>
              <w:t>决算公开操作规</w:t>
            </w:r>
            <w:r>
              <w:rPr>
                <w:sz w:val="15"/>
                <w:szCs w:val="15"/>
              </w:rPr>
              <w:t>程的通知&gt;》（</w:t>
            </w:r>
            <w:r>
              <w:rPr>
                <w:spacing w:val="-12"/>
                <w:sz w:val="15"/>
                <w:szCs w:val="15"/>
              </w:rPr>
              <w:t>财</w:t>
            </w:r>
            <w:r>
              <w:rPr>
                <w:w w:val="105"/>
                <w:sz w:val="15"/>
                <w:szCs w:val="15"/>
              </w:rPr>
              <w:t>预〔2016〕</w:t>
            </w:r>
            <w:r>
              <w:rPr>
                <w:sz w:val="15"/>
                <w:szCs w:val="15"/>
              </w:rPr>
              <w:t>144号）</w:t>
            </w:r>
            <w:r>
              <w:rPr>
                <w:spacing w:val="-3"/>
                <w:sz w:val="15"/>
                <w:szCs w:val="15"/>
              </w:rPr>
              <w:t>等法律法</w:t>
            </w:r>
            <w:r>
              <w:rPr>
                <w:w w:val="105"/>
                <w:sz w:val="15"/>
                <w:szCs w:val="15"/>
              </w:rPr>
              <w:t>规和文件规定</w:t>
            </w:r>
          </w:p>
        </w:tc>
        <w:tc>
          <w:tcPr>
            <w:tcW w:w="754" w:type="dxa"/>
            <w:vMerge w:val="restart"/>
            <w:vAlign w:val="center"/>
          </w:tcPr>
          <w:p>
            <w:pPr>
              <w:pStyle w:val="12"/>
              <w:spacing w:line="200" w:lineRule="exact"/>
              <w:ind w:left="88" w:right="64" w:firstLine="2"/>
              <w:jc w:val="center"/>
              <w:rPr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本级政</w:t>
            </w:r>
            <w:r>
              <w:rPr>
                <w:spacing w:val="-4"/>
                <w:w w:val="105"/>
                <w:sz w:val="15"/>
                <w:szCs w:val="15"/>
              </w:rPr>
              <w:t>府财政部门批</w:t>
            </w:r>
            <w:r>
              <w:rPr>
                <w:w w:val="105"/>
                <w:sz w:val="15"/>
                <w:szCs w:val="15"/>
              </w:rPr>
              <w:t>复后</w:t>
            </w:r>
            <w:r>
              <w:rPr>
                <w:spacing w:val="-7"/>
                <w:w w:val="105"/>
                <w:sz w:val="15"/>
                <w:szCs w:val="15"/>
              </w:rPr>
              <w:t>2</w:t>
            </w:r>
            <w:r>
              <w:rPr>
                <w:rFonts w:hint="default"/>
                <w:spacing w:val="-7"/>
                <w:w w:val="105"/>
                <w:sz w:val="15"/>
                <w:szCs w:val="15"/>
                <w:lang w:val="en-US"/>
              </w:rPr>
              <w:t>0</w:t>
            </w:r>
            <w:r>
              <w:rPr>
                <w:w w:val="105"/>
                <w:sz w:val="15"/>
                <w:szCs w:val="15"/>
              </w:rPr>
              <w:t>日内</w:t>
            </w:r>
          </w:p>
        </w:tc>
        <w:tc>
          <w:tcPr>
            <w:tcW w:w="948" w:type="dxa"/>
            <w:vMerge w:val="restart"/>
            <w:vAlign w:val="center"/>
          </w:tcPr>
          <w:p>
            <w:pPr>
              <w:pStyle w:val="12"/>
              <w:spacing w:line="200" w:lineRule="exact"/>
              <w:ind w:left="89" w:right="66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pacing w:val="-5"/>
                <w:w w:val="105"/>
                <w:sz w:val="15"/>
                <w:szCs w:val="15"/>
                <w:lang w:eastAsia="zh-CN"/>
              </w:rPr>
              <w:t>沅江市</w:t>
            </w:r>
            <w:r>
              <w:rPr>
                <w:spacing w:val="-5"/>
                <w:w w:val="105"/>
                <w:sz w:val="15"/>
                <w:szCs w:val="15"/>
              </w:rPr>
              <w:t>各预算</w:t>
            </w:r>
            <w:r>
              <w:rPr>
                <w:w w:val="105"/>
                <w:sz w:val="15"/>
                <w:szCs w:val="15"/>
              </w:rPr>
              <w:t>部门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pStyle w:val="12"/>
              <w:spacing w:line="200" w:lineRule="exact"/>
              <w:ind w:left="19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82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restart"/>
            <w:vAlign w:val="center"/>
          </w:tcPr>
          <w:p>
            <w:pPr>
              <w:pStyle w:val="12"/>
              <w:spacing w:line="200" w:lineRule="exact"/>
              <w:ind w:left="16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1891" w:type="dxa"/>
            <w:vMerge w:val="restart"/>
            <w:vAlign w:val="center"/>
          </w:tcPr>
          <w:p>
            <w:pPr>
              <w:pStyle w:val="12"/>
              <w:spacing w:line="200" w:lineRule="exact"/>
              <w:ind w:left="35" w:right="17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■政府网站</w:t>
            </w:r>
            <w:r>
              <w:rPr>
                <w:rFonts w:hint="eastAsia"/>
                <w:sz w:val="15"/>
                <w:szCs w:val="15"/>
              </w:rPr>
              <w:t xml:space="preserve">  </w:t>
            </w:r>
            <w:r>
              <w:rPr>
                <w:w w:val="105"/>
                <w:sz w:val="15"/>
                <w:szCs w:val="15"/>
              </w:rPr>
              <w:t>□</w:t>
            </w:r>
            <w:r>
              <w:rPr>
                <w:sz w:val="15"/>
                <w:szCs w:val="15"/>
              </w:rPr>
              <w:t>政府公报</w:t>
            </w:r>
          </w:p>
          <w:p>
            <w:pPr>
              <w:pStyle w:val="12"/>
              <w:spacing w:line="200" w:lineRule="exact"/>
              <w:ind w:left="35" w:right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□两微一端</w:t>
            </w:r>
            <w:r>
              <w:rPr>
                <w:rFonts w:hint="eastAsia"/>
                <w:sz w:val="15"/>
                <w:szCs w:val="15"/>
              </w:rPr>
              <w:t xml:space="preserve">  </w:t>
            </w:r>
            <w:r>
              <w:rPr>
                <w:sz w:val="15"/>
                <w:szCs w:val="15"/>
              </w:rPr>
              <w:t>□发布会/听证会</w:t>
            </w:r>
          </w:p>
          <w:p>
            <w:pPr>
              <w:pStyle w:val="12"/>
              <w:spacing w:line="200" w:lineRule="exact"/>
              <w:ind w:left="35" w:right="17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□广播电视</w:t>
            </w:r>
            <w:r>
              <w:rPr>
                <w:rFonts w:hint="eastAsia"/>
                <w:sz w:val="15"/>
                <w:szCs w:val="15"/>
              </w:rPr>
              <w:t xml:space="preserve">   </w:t>
            </w:r>
            <w:r>
              <w:rPr>
                <w:sz w:val="15"/>
                <w:szCs w:val="15"/>
              </w:rPr>
              <w:t>□纸质媒体</w:t>
            </w:r>
          </w:p>
          <w:p>
            <w:pPr>
              <w:pStyle w:val="12"/>
              <w:spacing w:line="200" w:lineRule="exact"/>
              <w:ind w:left="35" w:right="19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00" w:lineRule="exact"/>
              <w:ind w:left="35" w:right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□便民服务站□入户/现场</w:t>
            </w:r>
          </w:p>
          <w:p>
            <w:pPr>
              <w:pStyle w:val="12"/>
              <w:spacing w:line="200" w:lineRule="exact"/>
              <w:ind w:left="35" w:right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□社区/企事业单位/村公示栏（电子屏）</w:t>
            </w:r>
          </w:p>
          <w:p>
            <w:pPr>
              <w:pStyle w:val="12"/>
              <w:spacing w:line="200" w:lineRule="exact"/>
              <w:ind w:left="35" w:right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□精准推送</w:t>
            </w:r>
            <w:r>
              <w:rPr>
                <w:rFonts w:hint="eastAsia"/>
                <w:sz w:val="15"/>
                <w:szCs w:val="15"/>
                <w:lang w:eastAsia="zh-CN"/>
              </w:rPr>
              <w:t xml:space="preserve">  </w:t>
            </w:r>
            <w:r>
              <w:rPr>
                <w:sz w:val="15"/>
                <w:szCs w:val="15"/>
              </w:rPr>
              <w:t>■部门网站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12"/>
              <w:spacing w:line="200" w:lineRule="exact"/>
              <w:ind w:left="95" w:right="8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各区县</w:t>
            </w:r>
          </w:p>
          <w:p>
            <w:pPr>
              <w:pStyle w:val="12"/>
              <w:spacing w:line="200" w:lineRule="exact"/>
              <w:ind w:left="98" w:right="8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（市）政府组织下辖乡镇（街道）据实梳理、填报</w:t>
            </w:r>
          </w:p>
        </w:tc>
        <w:tc>
          <w:tcPr>
            <w:tcW w:w="1960" w:type="dxa"/>
            <w:vMerge w:val="restart"/>
            <w:vAlign w:val="center"/>
          </w:tcPr>
          <w:p>
            <w:pPr>
              <w:pStyle w:val="12"/>
              <w:spacing w:line="200" w:lineRule="exact"/>
              <w:ind w:left="17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□政府网站</w:t>
            </w:r>
            <w:r>
              <w:rPr>
                <w:rFonts w:hint="eastAsia"/>
                <w:sz w:val="15"/>
                <w:szCs w:val="15"/>
                <w:lang w:eastAsia="zh-CN"/>
              </w:rPr>
              <w:t xml:space="preserve">  </w:t>
            </w:r>
            <w:r>
              <w:rPr>
                <w:sz w:val="15"/>
                <w:szCs w:val="15"/>
              </w:rPr>
              <w:t>□政府公报</w:t>
            </w:r>
          </w:p>
          <w:p>
            <w:pPr>
              <w:pStyle w:val="12"/>
              <w:spacing w:line="200" w:lineRule="exact"/>
              <w:ind w:left="14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□两微一端</w:t>
            </w:r>
            <w:r>
              <w:rPr>
                <w:rFonts w:hint="eastAsia"/>
                <w:sz w:val="15"/>
                <w:szCs w:val="15"/>
                <w:lang w:eastAsia="zh-CN"/>
              </w:rPr>
              <w:t xml:space="preserve"> </w:t>
            </w:r>
            <w:r>
              <w:rPr>
                <w:sz w:val="15"/>
                <w:szCs w:val="15"/>
              </w:rPr>
              <w:t>□发布会/听证会</w:t>
            </w:r>
          </w:p>
          <w:p>
            <w:pPr>
              <w:pStyle w:val="12"/>
              <w:spacing w:line="200" w:lineRule="exact"/>
              <w:ind w:left="17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□广播电视</w:t>
            </w:r>
            <w:r>
              <w:rPr>
                <w:rFonts w:hint="eastAsia"/>
                <w:sz w:val="15"/>
                <w:szCs w:val="15"/>
                <w:lang w:eastAsia="zh-CN"/>
              </w:rPr>
              <w:t xml:space="preserve">  </w:t>
            </w:r>
            <w:r>
              <w:rPr>
                <w:sz w:val="15"/>
                <w:szCs w:val="15"/>
              </w:rPr>
              <w:t>□纸质媒体</w:t>
            </w:r>
          </w:p>
          <w:p>
            <w:pPr>
              <w:pStyle w:val="12"/>
              <w:spacing w:line="200" w:lineRule="exact"/>
              <w:ind w:left="16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00" w:lineRule="exact"/>
              <w:ind w:left="14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□便民服务站</w:t>
            </w:r>
            <w:r>
              <w:rPr>
                <w:rFonts w:hint="eastAsia"/>
                <w:sz w:val="15"/>
                <w:szCs w:val="15"/>
                <w:lang w:eastAsia="zh-CN"/>
              </w:rPr>
              <w:t xml:space="preserve">  </w:t>
            </w:r>
            <w:r>
              <w:rPr>
                <w:sz w:val="15"/>
                <w:szCs w:val="15"/>
              </w:rPr>
              <w:t>□入户/现场</w:t>
            </w:r>
          </w:p>
          <w:p>
            <w:pPr>
              <w:pStyle w:val="12"/>
              <w:spacing w:line="200" w:lineRule="exact"/>
              <w:ind w:left="14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□社区/企事业单位/村公示栏（电子屏）</w:t>
            </w:r>
          </w:p>
          <w:p>
            <w:pPr>
              <w:pStyle w:val="12"/>
              <w:spacing w:line="200" w:lineRule="exact"/>
              <w:ind w:left="15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□精准推送</w:t>
            </w:r>
            <w:r>
              <w:rPr>
                <w:rFonts w:hint="eastAsia"/>
                <w:sz w:val="15"/>
                <w:szCs w:val="15"/>
                <w:lang w:eastAsia="zh-CN"/>
              </w:rPr>
              <w:t xml:space="preserve">  </w:t>
            </w:r>
            <w:r>
              <w:rPr>
                <w:sz w:val="15"/>
                <w:szCs w:val="15"/>
              </w:rPr>
              <w:t>□部门网站</w:t>
            </w:r>
          </w:p>
        </w:tc>
        <w:tc>
          <w:tcPr>
            <w:tcW w:w="921" w:type="dxa"/>
            <w:vMerge w:val="restart"/>
          </w:tcPr>
          <w:p>
            <w:pPr>
              <w:pStyle w:val="12"/>
              <w:spacing w:line="240" w:lineRule="exact"/>
              <w:rPr>
                <w:rFonts w:hint="default" w:ascii="Times New Roman"/>
                <w:sz w:val="15"/>
                <w:szCs w:val="15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1" w:hRule="atLeast"/>
        </w:trPr>
        <w:tc>
          <w:tcPr>
            <w:tcW w:w="54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</w:tcPr>
          <w:p>
            <w:pPr>
              <w:pStyle w:val="12"/>
              <w:spacing w:line="200" w:lineRule="exact"/>
              <w:ind w:left="28" w:right="14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本部门职责、机构设置情况、决算收支增减变化、机关运行经费安排以及政府采购（主要包括部门政府采购支出总金额，货物、工程、服务的采购金额，授予中小企业的合同金额及占政府采购支出总金额的比重）等情况的说明，并对专业性较强的名词进行解释。结合工作进展情况，逐步公开国有资产占用、绩</w:t>
            </w:r>
            <w:r>
              <w:rPr>
                <w:w w:val="105"/>
                <w:sz w:val="15"/>
                <w:szCs w:val="15"/>
              </w:rPr>
              <w:t>效评价结果等情况。</w:t>
            </w:r>
          </w:p>
        </w:tc>
        <w:tc>
          <w:tcPr>
            <w:tcW w:w="103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54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</w:tcPr>
          <w:p>
            <w:pPr>
              <w:pStyle w:val="12"/>
              <w:spacing w:line="200" w:lineRule="exact"/>
              <w:ind w:left="28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没有数据的表格应当列出空表并说明。</w:t>
            </w:r>
          </w:p>
        </w:tc>
        <w:tc>
          <w:tcPr>
            <w:tcW w:w="103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</w:tr>
    </w:tbl>
    <w:p>
      <w:pPr>
        <w:tabs>
          <w:tab w:val="left" w:pos="7126"/>
        </w:tabs>
      </w:pPr>
    </w:p>
    <w:p/>
    <w:sectPr>
      <w:headerReference r:id="rId3" w:type="default"/>
      <w:footerReference r:id="rId4" w:type="default"/>
      <w:pgSz w:w="23811" w:h="16837" w:orient="landscape"/>
      <w:pgMar w:top="811" w:right="1400" w:bottom="607" w:left="1440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hint="eastAsia"/>
        <w:sz w:val="24"/>
        <w:szCs w:val="24"/>
      </w:rPr>
      <w:t xml:space="preserve">－ 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4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 xml:space="preserve"> －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C59"/>
    <w:rsid w:val="00015468"/>
    <w:rsid w:val="00036C89"/>
    <w:rsid w:val="00044BC3"/>
    <w:rsid w:val="000537DC"/>
    <w:rsid w:val="000861FD"/>
    <w:rsid w:val="00095AD4"/>
    <w:rsid w:val="000C3D8A"/>
    <w:rsid w:val="000C74E0"/>
    <w:rsid w:val="000D6AFE"/>
    <w:rsid w:val="000E4A0D"/>
    <w:rsid w:val="000F15A0"/>
    <w:rsid w:val="00122B7F"/>
    <w:rsid w:val="00142707"/>
    <w:rsid w:val="00164597"/>
    <w:rsid w:val="00196AB3"/>
    <w:rsid w:val="001A0807"/>
    <w:rsid w:val="001D6D86"/>
    <w:rsid w:val="001E1AD1"/>
    <w:rsid w:val="001F6117"/>
    <w:rsid w:val="00224DE8"/>
    <w:rsid w:val="002A1E2A"/>
    <w:rsid w:val="00327EB2"/>
    <w:rsid w:val="00357AF1"/>
    <w:rsid w:val="00384351"/>
    <w:rsid w:val="003D5501"/>
    <w:rsid w:val="003D715F"/>
    <w:rsid w:val="003F1D73"/>
    <w:rsid w:val="00402ACD"/>
    <w:rsid w:val="00404913"/>
    <w:rsid w:val="00464DEB"/>
    <w:rsid w:val="004746D2"/>
    <w:rsid w:val="00475933"/>
    <w:rsid w:val="00492312"/>
    <w:rsid w:val="004B7BD1"/>
    <w:rsid w:val="004C5837"/>
    <w:rsid w:val="00534607"/>
    <w:rsid w:val="00591B0F"/>
    <w:rsid w:val="005936A2"/>
    <w:rsid w:val="00594127"/>
    <w:rsid w:val="005954F8"/>
    <w:rsid w:val="00632559"/>
    <w:rsid w:val="00642802"/>
    <w:rsid w:val="006462C5"/>
    <w:rsid w:val="00651369"/>
    <w:rsid w:val="0067277A"/>
    <w:rsid w:val="00695F76"/>
    <w:rsid w:val="00696E41"/>
    <w:rsid w:val="006A1E7D"/>
    <w:rsid w:val="006A7616"/>
    <w:rsid w:val="006B639A"/>
    <w:rsid w:val="006D7D54"/>
    <w:rsid w:val="0070618C"/>
    <w:rsid w:val="0071623F"/>
    <w:rsid w:val="00723BD2"/>
    <w:rsid w:val="007A20C4"/>
    <w:rsid w:val="007D6EFD"/>
    <w:rsid w:val="008018D3"/>
    <w:rsid w:val="0085322F"/>
    <w:rsid w:val="00893A1C"/>
    <w:rsid w:val="00914FE2"/>
    <w:rsid w:val="00990EBF"/>
    <w:rsid w:val="00991DA7"/>
    <w:rsid w:val="009F28F4"/>
    <w:rsid w:val="00A374A9"/>
    <w:rsid w:val="00A41D89"/>
    <w:rsid w:val="00A6195B"/>
    <w:rsid w:val="00A7034F"/>
    <w:rsid w:val="00A9769D"/>
    <w:rsid w:val="00A97D27"/>
    <w:rsid w:val="00AA10A9"/>
    <w:rsid w:val="00AA3D58"/>
    <w:rsid w:val="00B02EC0"/>
    <w:rsid w:val="00B11D29"/>
    <w:rsid w:val="00B20419"/>
    <w:rsid w:val="00B408FF"/>
    <w:rsid w:val="00B42E1C"/>
    <w:rsid w:val="00B614AD"/>
    <w:rsid w:val="00B9627B"/>
    <w:rsid w:val="00BB5F73"/>
    <w:rsid w:val="00C3493F"/>
    <w:rsid w:val="00CD38D3"/>
    <w:rsid w:val="00CE1080"/>
    <w:rsid w:val="00CF2FB3"/>
    <w:rsid w:val="00CF5FFE"/>
    <w:rsid w:val="00D07B0B"/>
    <w:rsid w:val="00D13D79"/>
    <w:rsid w:val="00D23B4C"/>
    <w:rsid w:val="00D35540"/>
    <w:rsid w:val="00D43342"/>
    <w:rsid w:val="00D930E9"/>
    <w:rsid w:val="00DB24DA"/>
    <w:rsid w:val="00DD3574"/>
    <w:rsid w:val="00DF7110"/>
    <w:rsid w:val="00E06497"/>
    <w:rsid w:val="00E25264"/>
    <w:rsid w:val="00E33506"/>
    <w:rsid w:val="00E335F6"/>
    <w:rsid w:val="00E51C59"/>
    <w:rsid w:val="00EC05D0"/>
    <w:rsid w:val="00ED458B"/>
    <w:rsid w:val="00F16302"/>
    <w:rsid w:val="00F836B6"/>
    <w:rsid w:val="00FA1C4D"/>
    <w:rsid w:val="00FF787D"/>
    <w:rsid w:val="18B21FFD"/>
    <w:rsid w:val="5EBB9163"/>
    <w:rsid w:val="79F8A9B3"/>
    <w:rsid w:val="7A6F1AC3"/>
    <w:rsid w:val="7FFAAA29"/>
    <w:rsid w:val="8B7FEC46"/>
    <w:rsid w:val="B7BB224A"/>
    <w:rsid w:val="D6FFDC37"/>
    <w:rsid w:val="E17F7338"/>
    <w:rsid w:val="FCBEF89C"/>
    <w:rsid w:val="FEDE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42"/>
      <w:szCs w:val="42"/>
      <w:lang w:eastAsia="en-US"/>
    </w:rPr>
  </w:style>
  <w:style w:type="paragraph" w:styleId="3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autoSpaceDE w:val="0"/>
      <w:autoSpaceDN w:val="0"/>
      <w:snapToGrid w:val="0"/>
      <w:jc w:val="left"/>
    </w:pPr>
    <w:rPr>
      <w:rFonts w:ascii="宋体" w:hAnsi="宋体" w:cs="宋体"/>
      <w:kern w:val="0"/>
      <w:sz w:val="18"/>
      <w:szCs w:val="18"/>
      <w:lang w:eastAsia="en-US"/>
    </w:rPr>
  </w:style>
  <w:style w:type="paragraph" w:styleId="4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 w:val="0"/>
      <w:autoSpaceDN w:val="0"/>
      <w:snapToGrid w:val="0"/>
      <w:jc w:val="center"/>
    </w:pPr>
    <w:rPr>
      <w:rFonts w:ascii="宋体" w:hAnsi="宋体" w:cs="宋体"/>
      <w:kern w:val="0"/>
      <w:sz w:val="18"/>
      <w:szCs w:val="18"/>
      <w:lang w:eastAsia="en-US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正文文本 Char"/>
    <w:basedOn w:val="6"/>
    <w:link w:val="2"/>
    <w:qFormat/>
    <w:uiPriority w:val="1"/>
    <w:rPr>
      <w:rFonts w:ascii="宋体" w:hAnsi="宋体" w:eastAsia="宋体" w:cs="宋体"/>
      <w:kern w:val="0"/>
      <w:sz w:val="42"/>
      <w:szCs w:val="42"/>
      <w:lang w:eastAsia="en-US"/>
    </w:rPr>
  </w:style>
  <w:style w:type="table" w:customStyle="1" w:styleId="10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paragraph" w:customStyle="1" w:styleId="12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character" w:customStyle="1" w:styleId="13">
    <w:name w:val="页眉 Char"/>
    <w:basedOn w:val="6"/>
    <w:link w:val="4"/>
    <w:qFormat/>
    <w:uiPriority w:val="0"/>
    <w:rPr>
      <w:rFonts w:ascii="宋体" w:hAnsi="宋体" w:eastAsia="宋体" w:cs="宋体"/>
      <w:kern w:val="0"/>
      <w:sz w:val="18"/>
      <w:szCs w:val="18"/>
      <w:lang w:eastAsia="en-US"/>
    </w:rPr>
  </w:style>
  <w:style w:type="character" w:customStyle="1" w:styleId="14">
    <w:name w:val="页脚 Char"/>
    <w:basedOn w:val="6"/>
    <w:link w:val="3"/>
    <w:qFormat/>
    <w:uiPriority w:val="0"/>
    <w:rPr>
      <w:rFonts w:ascii="宋体" w:hAnsi="宋体" w:eastAsia="宋体" w:cs="宋体"/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7203</Words>
  <Characters>41061</Characters>
  <Lines>342</Lines>
  <Paragraphs>96</Paragraphs>
  <TotalTime>2</TotalTime>
  <ScaleCrop>false</ScaleCrop>
  <LinksUpToDate>false</LinksUpToDate>
  <CharactersWithSpaces>48168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2021-01-01T01:50:00Z</dcterms:created>
  <dc:creator>xbany</dc:creator>
  <cp:lastModifiedBy>kylin</cp:lastModifiedBy>
  <cp:lastPrinted>2020-12-18T21:54:00Z</cp:lastPrinted>
  <dcterms:modified xsi:type="dcterms:W3CDTF">2025-10-17T11:06:19Z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5D5390AC749A14EA33AFF16803D5E1FE</vt:lpwstr>
  </property>
</Properties>
</file>