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rPr>
          <w:rFonts w:ascii="黑体" w:hAnsi="黑体" w:eastAsia="黑体" w:cs="宋体"/>
          <w:b/>
          <w:color w:val="333333"/>
          <w:kern w:val="0"/>
          <w:sz w:val="44"/>
          <w:szCs w:val="44"/>
        </w:rPr>
      </w:pPr>
      <w:bookmarkStart w:id="0" w:name="_GoBack"/>
      <w:bookmarkEnd w:id="0"/>
      <w:r>
        <w:rPr>
          <w:rFonts w:hint="eastAsia" w:ascii="黑体" w:hAnsi="黑体" w:eastAsia="黑体" w:cs="宋体"/>
          <w:b/>
          <w:color w:val="333333"/>
          <w:kern w:val="0"/>
          <w:sz w:val="44"/>
          <w:szCs w:val="44"/>
        </w:rPr>
        <w:t>沅江市社会保险服务中心</w:t>
      </w:r>
    </w:p>
    <w:p>
      <w:pPr>
        <w:widowControl/>
        <w:shd w:val="clear" w:color="auto" w:fill="FFFFFF"/>
        <w:spacing w:line="600" w:lineRule="atLeast"/>
        <w:jc w:val="center"/>
        <w:rPr>
          <w:rFonts w:ascii="黑体" w:hAnsi="黑体" w:eastAsia="黑体" w:cs="宋体"/>
          <w:b/>
          <w:color w:val="333333"/>
          <w:kern w:val="0"/>
          <w:sz w:val="44"/>
          <w:szCs w:val="44"/>
        </w:rPr>
      </w:pPr>
      <w:r>
        <w:rPr>
          <w:rFonts w:hint="eastAsia" w:ascii="黑体" w:hAnsi="黑体" w:eastAsia="黑体" w:cs="宋体"/>
          <w:b/>
          <w:color w:val="333333"/>
          <w:kern w:val="0"/>
          <w:sz w:val="44"/>
          <w:szCs w:val="44"/>
        </w:rPr>
        <w:t>2020年度整体支出</w:t>
      </w:r>
      <w:r>
        <w:rPr>
          <w:rFonts w:ascii="黑体" w:hAnsi="黑体" w:eastAsia="黑体"/>
          <w:b/>
          <w:color w:val="333333"/>
          <w:kern w:val="0"/>
          <w:sz w:val="44"/>
          <w:szCs w:val="44"/>
        </w:rPr>
        <w:t>绩效</w:t>
      </w:r>
      <w:r>
        <w:rPr>
          <w:rFonts w:hint="eastAsia" w:ascii="黑体" w:hAnsi="黑体" w:eastAsia="黑体" w:cs="宋体"/>
          <w:b/>
          <w:color w:val="333333"/>
          <w:kern w:val="0"/>
          <w:sz w:val="44"/>
          <w:szCs w:val="44"/>
        </w:rPr>
        <w:t>评价</w:t>
      </w:r>
      <w:r>
        <w:rPr>
          <w:rFonts w:ascii="黑体" w:hAnsi="黑体" w:eastAsia="黑体"/>
          <w:b/>
          <w:color w:val="333333"/>
          <w:kern w:val="0"/>
          <w:sz w:val="44"/>
          <w:szCs w:val="44"/>
        </w:rPr>
        <w:t>报告</w:t>
      </w:r>
    </w:p>
    <w:p>
      <w:pPr>
        <w:widowControl/>
        <w:shd w:val="clear" w:color="auto" w:fill="FFFFFF"/>
        <w:spacing w:line="640" w:lineRule="atLeast"/>
        <w:ind w:firstLine="688"/>
        <w:jc w:val="left"/>
        <w:rPr>
          <w:rFonts w:ascii="微软雅黑" w:hAnsi="微软雅黑" w:eastAsia="微软雅黑" w:cs="宋体"/>
          <w:kern w:val="0"/>
          <w:sz w:val="34"/>
          <w:szCs w:val="34"/>
        </w:rPr>
      </w:pPr>
      <w:r>
        <w:rPr>
          <w:rFonts w:hint="eastAsia" w:ascii="仿宋" w:hAnsi="仿宋" w:eastAsia="仿宋" w:cs="宋体"/>
          <w:color w:val="333333"/>
          <w:kern w:val="0"/>
          <w:sz w:val="34"/>
          <w:szCs w:val="34"/>
        </w:rPr>
        <w:t>一、部门基本情况</w:t>
      </w:r>
    </w:p>
    <w:p>
      <w:pPr>
        <w:widowControl/>
        <w:shd w:val="clear" w:color="auto" w:fill="FFFFFF"/>
        <w:spacing w:line="592" w:lineRule="atLeast"/>
        <w:ind w:firstLine="688"/>
        <w:jc w:val="left"/>
        <w:rPr>
          <w:rFonts w:ascii="微软雅黑" w:hAnsi="微软雅黑" w:eastAsia="微软雅黑" w:cs="宋体"/>
          <w:kern w:val="0"/>
          <w:sz w:val="34"/>
          <w:szCs w:val="34"/>
        </w:rPr>
      </w:pPr>
      <w:r>
        <w:rPr>
          <w:rFonts w:hint="eastAsia" w:ascii="仿宋" w:hAnsi="仿宋" w:eastAsia="仿宋" w:cs="宋体"/>
          <w:kern w:val="0"/>
          <w:sz w:val="34"/>
          <w:szCs w:val="34"/>
        </w:rPr>
        <w:t>（一）机构设置情况。</w:t>
      </w:r>
    </w:p>
    <w:p>
      <w:pPr>
        <w:ind w:firstLine="850" w:firstLineChars="250"/>
        <w:jc w:val="left"/>
        <w:rPr>
          <w:rFonts w:ascii="仿宋" w:hAnsi="仿宋" w:eastAsia="仿宋"/>
          <w:sz w:val="34"/>
          <w:szCs w:val="34"/>
        </w:rPr>
      </w:pPr>
      <w:r>
        <w:rPr>
          <w:rFonts w:hint="eastAsia" w:ascii="仿宋" w:hAnsi="仿宋" w:eastAsia="仿宋"/>
          <w:sz w:val="34"/>
          <w:szCs w:val="34"/>
        </w:rPr>
        <w:t>沅江市社会保险服务中心</w:t>
      </w:r>
      <w:r>
        <w:rPr>
          <w:rFonts w:hint="eastAsia" w:ascii="仿宋" w:hAnsi="仿宋" w:eastAsia="仿宋" w:cs="仿宋_GB2312"/>
          <w:sz w:val="34"/>
          <w:szCs w:val="34"/>
        </w:rPr>
        <w:t>为沅江市人力资源和社会保障局所属的二级机构，</w:t>
      </w:r>
      <w:r>
        <w:rPr>
          <w:rFonts w:hint="eastAsia" w:ascii="仿宋" w:hAnsi="仿宋" w:eastAsia="仿宋" w:cs="宋体"/>
          <w:color w:val="333333"/>
          <w:kern w:val="0"/>
          <w:sz w:val="34"/>
          <w:szCs w:val="34"/>
        </w:rPr>
        <w:t>为全额拨款事业单位，</w:t>
      </w:r>
      <w:r>
        <w:rPr>
          <w:rFonts w:hint="eastAsia" w:ascii="仿宋" w:hAnsi="仿宋" w:eastAsia="仿宋" w:cs="仿宋"/>
          <w:sz w:val="34"/>
          <w:szCs w:val="34"/>
        </w:rPr>
        <w:t>无下属单位。</w:t>
      </w:r>
    </w:p>
    <w:p>
      <w:pPr>
        <w:widowControl/>
        <w:shd w:val="clear" w:color="auto" w:fill="FFFFFF"/>
        <w:spacing w:line="592" w:lineRule="atLeast"/>
        <w:ind w:firstLine="688"/>
        <w:jc w:val="left"/>
        <w:rPr>
          <w:rFonts w:ascii="仿宋" w:hAnsi="仿宋" w:eastAsia="仿宋" w:cs="宋体"/>
          <w:color w:val="000000"/>
          <w:kern w:val="0"/>
          <w:sz w:val="34"/>
          <w:szCs w:val="34"/>
        </w:rPr>
      </w:pPr>
      <w:r>
        <w:rPr>
          <w:rFonts w:hint="eastAsia" w:ascii="仿宋" w:hAnsi="仿宋" w:eastAsia="仿宋" w:cs="宋体"/>
          <w:color w:val="000000"/>
          <w:kern w:val="0"/>
          <w:sz w:val="34"/>
          <w:szCs w:val="34"/>
        </w:rPr>
        <w:t>根据编委核定，我中心内设股室11个：办公室，人事政工股，个人账户管理股，征缴股，待遇核定股，待遇支付股，职业年金管理股，稽核股，信息统计股，档案管理股。</w:t>
      </w:r>
    </w:p>
    <w:p>
      <w:pPr>
        <w:widowControl/>
        <w:shd w:val="clear" w:color="auto" w:fill="FFFFFF"/>
        <w:spacing w:line="592" w:lineRule="atLeast"/>
        <w:ind w:firstLine="688"/>
        <w:jc w:val="left"/>
        <w:rPr>
          <w:rFonts w:ascii="微软雅黑" w:hAnsi="微软雅黑" w:eastAsia="微软雅黑" w:cs="宋体"/>
          <w:kern w:val="0"/>
          <w:sz w:val="34"/>
          <w:szCs w:val="34"/>
        </w:rPr>
      </w:pPr>
      <w:r>
        <w:rPr>
          <w:rFonts w:hint="eastAsia" w:ascii="仿宋" w:hAnsi="仿宋" w:eastAsia="仿宋" w:cs="宋体"/>
          <w:color w:val="333333"/>
          <w:kern w:val="0"/>
          <w:sz w:val="34"/>
          <w:szCs w:val="34"/>
        </w:rPr>
        <w:t>（二）人员情况</w:t>
      </w:r>
    </w:p>
    <w:p>
      <w:pPr>
        <w:widowControl/>
        <w:shd w:val="clear" w:color="auto" w:fill="FFFFFF"/>
        <w:spacing w:line="592" w:lineRule="atLeast"/>
        <w:ind w:firstLine="688"/>
        <w:jc w:val="left"/>
        <w:rPr>
          <w:rFonts w:ascii="仿宋" w:hAnsi="仿宋" w:eastAsia="仿宋"/>
          <w:color w:val="000000"/>
          <w:sz w:val="34"/>
          <w:szCs w:val="34"/>
          <w:shd w:val="clear" w:color="auto" w:fill="FFFFFF"/>
        </w:rPr>
      </w:pPr>
      <w:r>
        <w:rPr>
          <w:rFonts w:ascii="仿宋" w:hAnsi="仿宋" w:eastAsia="仿宋" w:cs="仿宋"/>
          <w:sz w:val="34"/>
          <w:szCs w:val="34"/>
        </w:rPr>
        <w:t>20</w:t>
      </w:r>
      <w:r>
        <w:rPr>
          <w:rFonts w:hint="eastAsia" w:ascii="仿宋" w:hAnsi="仿宋" w:eastAsia="仿宋" w:cs="仿宋"/>
          <w:sz w:val="34"/>
          <w:szCs w:val="34"/>
        </w:rPr>
        <w:t>20年末</w:t>
      </w:r>
      <w:r>
        <w:rPr>
          <w:rFonts w:hint="eastAsia" w:ascii="仿宋" w:hAnsi="仿宋" w:eastAsia="仿宋" w:cs="宋体"/>
          <w:color w:val="333333"/>
          <w:kern w:val="0"/>
          <w:sz w:val="34"/>
          <w:szCs w:val="34"/>
        </w:rPr>
        <w:t>我单位实有在职人员</w:t>
      </w:r>
      <w:r>
        <w:rPr>
          <w:rFonts w:hint="eastAsia" w:ascii="仿宋" w:hAnsi="仿宋" w:eastAsia="仿宋"/>
          <w:color w:val="000000"/>
          <w:sz w:val="34"/>
          <w:szCs w:val="34"/>
          <w:shd w:val="clear" w:color="auto" w:fill="FFFFFF"/>
        </w:rPr>
        <w:t>58人。其中：实有在职人员45人，离退休人员13人。</w:t>
      </w:r>
    </w:p>
    <w:p>
      <w:pPr>
        <w:widowControl/>
        <w:shd w:val="clear" w:color="auto" w:fill="FFFFFF"/>
        <w:spacing w:line="592" w:lineRule="atLeast"/>
        <w:ind w:firstLine="688"/>
        <w:jc w:val="left"/>
        <w:rPr>
          <w:rFonts w:ascii="微软雅黑" w:hAnsi="微软雅黑" w:eastAsia="微软雅黑" w:cs="宋体"/>
          <w:kern w:val="0"/>
          <w:sz w:val="34"/>
          <w:szCs w:val="34"/>
        </w:rPr>
      </w:pPr>
      <w:r>
        <w:rPr>
          <w:rFonts w:hint="eastAsia" w:ascii="仿宋" w:hAnsi="仿宋" w:eastAsia="仿宋" w:cs="宋体"/>
          <w:kern w:val="0"/>
          <w:sz w:val="34"/>
          <w:szCs w:val="34"/>
        </w:rPr>
        <w:t>（三）主要工作职责：</w:t>
      </w:r>
    </w:p>
    <w:p>
      <w:pPr>
        <w:widowControl/>
        <w:shd w:val="clear" w:color="auto" w:fill="FFFFFF"/>
        <w:spacing w:before="100" w:after="100" w:line="560" w:lineRule="atLeast"/>
        <w:ind w:firstLine="499" w:firstLineChars="147"/>
        <w:jc w:val="left"/>
        <w:rPr>
          <w:rFonts w:ascii="仿宋" w:hAnsi="仿宋" w:eastAsia="仿宋" w:cs="宋体"/>
          <w:color w:val="000000"/>
          <w:kern w:val="0"/>
          <w:sz w:val="34"/>
          <w:szCs w:val="34"/>
        </w:rPr>
      </w:pPr>
      <w:r>
        <w:rPr>
          <w:rFonts w:hint="eastAsia" w:ascii="仿宋" w:hAnsi="仿宋" w:eastAsia="仿宋" w:cs="宋体"/>
          <w:color w:val="000000"/>
          <w:kern w:val="0"/>
          <w:sz w:val="34"/>
          <w:szCs w:val="34"/>
        </w:rPr>
        <w:t>负责全市机关事业单位、企业职工、城乡居民养老保险基金以及机关事业单位职业年金的业务办理、生存认证、稽核稽查等管理及养老金的发放工作。</w:t>
      </w:r>
    </w:p>
    <w:p>
      <w:pPr>
        <w:pStyle w:val="4"/>
        <w:shd w:val="clear" w:color="auto" w:fill="FFFFFF"/>
        <w:spacing w:before="0" w:beforeAutospacing="0" w:after="0" w:afterAutospacing="0" w:line="480" w:lineRule="atLeast"/>
        <w:ind w:firstLine="480"/>
        <w:rPr>
          <w:rFonts w:ascii="仿宋" w:hAnsi="仿宋" w:eastAsia="仿宋"/>
          <w:color w:val="333333"/>
          <w:sz w:val="34"/>
          <w:szCs w:val="34"/>
        </w:rPr>
      </w:pPr>
      <w:r>
        <w:rPr>
          <w:rFonts w:hint="eastAsia" w:ascii="仿宋" w:hAnsi="仿宋" w:eastAsia="仿宋"/>
          <w:color w:val="333333"/>
          <w:sz w:val="34"/>
          <w:szCs w:val="34"/>
        </w:rPr>
        <w:t>二、部门整体收支概况</w:t>
      </w:r>
    </w:p>
    <w:p>
      <w:pPr>
        <w:widowControl/>
        <w:shd w:val="clear" w:color="auto" w:fill="FFFFFF"/>
        <w:spacing w:line="592" w:lineRule="atLeast"/>
        <w:ind w:firstLine="688"/>
        <w:jc w:val="left"/>
        <w:rPr>
          <w:rFonts w:ascii="仿宋" w:hAnsi="仿宋" w:eastAsia="仿宋" w:cs="仿宋"/>
          <w:sz w:val="34"/>
          <w:szCs w:val="34"/>
        </w:rPr>
      </w:pPr>
      <w:r>
        <w:rPr>
          <w:rFonts w:hint="eastAsia" w:ascii="仿宋" w:hAnsi="仿宋" w:eastAsia="仿宋"/>
          <w:color w:val="333333"/>
          <w:sz w:val="34"/>
          <w:szCs w:val="34"/>
        </w:rPr>
        <w:t>2019年5月</w:t>
      </w:r>
      <w:r>
        <w:rPr>
          <w:rFonts w:hint="eastAsia" w:ascii="仿宋" w:hAnsi="仿宋" w:eastAsia="仿宋" w:cs="仿宋"/>
          <w:sz w:val="34"/>
          <w:szCs w:val="34"/>
        </w:rPr>
        <w:t>根据《中共沅江市委 沅江市人民政府关于印发&lt;沅江市机构改改革方案&gt;的通知》（沅发【2019】5号），原沅江市社会劳动保险所、沅江市机关事业单位社会保险所、沅江市城乡居民社会养老保险所三所合并为沅江市社会保险服务中心。由于机构撤并,</w:t>
      </w:r>
      <w:r>
        <w:rPr>
          <w:rFonts w:ascii="仿宋" w:hAnsi="仿宋" w:eastAsia="仿宋" w:cs="仿宋"/>
          <w:sz w:val="34"/>
          <w:szCs w:val="34"/>
        </w:rPr>
        <w:t>20</w:t>
      </w:r>
      <w:r>
        <w:rPr>
          <w:rFonts w:hint="eastAsia" w:ascii="仿宋" w:hAnsi="仿宋" w:eastAsia="仿宋" w:cs="仿宋"/>
          <w:sz w:val="34"/>
          <w:szCs w:val="34"/>
        </w:rPr>
        <w:t>20年收入实际完成636万元,本部门支出617万元。</w:t>
      </w:r>
    </w:p>
    <w:p>
      <w:pPr>
        <w:pStyle w:val="4"/>
        <w:shd w:val="clear" w:color="auto" w:fill="FFFFFF"/>
        <w:spacing w:before="0" w:beforeAutospacing="0" w:after="0" w:afterAutospacing="0" w:line="480" w:lineRule="atLeast"/>
        <w:ind w:firstLine="480"/>
        <w:rPr>
          <w:rFonts w:ascii="仿宋" w:hAnsi="仿宋" w:eastAsia="仿宋"/>
          <w:color w:val="333333"/>
          <w:sz w:val="34"/>
          <w:szCs w:val="34"/>
        </w:rPr>
      </w:pPr>
      <w:r>
        <w:rPr>
          <w:rFonts w:hint="eastAsia" w:ascii="仿宋" w:hAnsi="仿宋" w:eastAsia="仿宋"/>
          <w:color w:val="333333"/>
          <w:sz w:val="34"/>
          <w:szCs w:val="34"/>
        </w:rPr>
        <w:t>其中：工资及福利支出407万元、对个人及家庭的补助支出0万元、商品及服务支出54万元。</w:t>
      </w:r>
    </w:p>
    <w:p>
      <w:pPr>
        <w:widowControl/>
        <w:shd w:val="clear" w:color="auto" w:fill="FFFFFF"/>
        <w:spacing w:line="592" w:lineRule="atLeast"/>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三、部门整体支出管理情况</w:t>
      </w:r>
    </w:p>
    <w:p>
      <w:pPr>
        <w:widowControl/>
        <w:shd w:val="clear" w:color="auto" w:fill="FFFFFF"/>
        <w:spacing w:line="576" w:lineRule="atLeast"/>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总的来说，我单位财务管理较为严格，建立了《沅江市城乡居民社会养老保险所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在安排支出时，分轻重缓急，保证常规和重点支出需要，既体现实际工作需要，又考虑财力可能，统筹安排，合理支出。</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四、部门整体支出绩效情况</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（一）部门职责履行情况</w:t>
      </w:r>
    </w:p>
    <w:p>
      <w:pPr>
        <w:widowControl/>
        <w:shd w:val="clear" w:color="auto" w:fill="FFFFFF"/>
        <w:spacing w:line="640" w:lineRule="atLeast"/>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2020年，我单位按照年初工作规划，认真贯彻党的十九大和十八届六中、七中全会精神，以健全完善经办制度为基础，以全面提升经办能力为抓手，以“人人参与、人人享有、人人获益、人人便利”为目标，结合了“不忘初心、牢记使命”的主题教育，扎实推进养老保险工作，取得了良好的社会效益和经济效益。</w:t>
      </w:r>
    </w:p>
    <w:p>
      <w:pPr>
        <w:widowControl/>
        <w:shd w:val="clear" w:color="auto" w:fill="FFFFFF"/>
        <w:spacing w:line="640" w:lineRule="atLeast"/>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1、大力整治死亡违规冒领社保资金问题。基金安全一直是中心工作重中之重，一是以待遇领取资格认证为主导，多措并举堵塞基金漏洞。通过“互联网+监督”查出疑似死亡冒领人员多人，我中心高度重视，认真核查，联合公安、民政等部门开展数据比对、并对疑似死亡人员采取暂停待遇发放处理，并要求各乡镇劳务站全面开展追缴冒领养老金工作，截止目前已追回冒领金额75.95多万。为杜绝今后养老金冒领情况发生，确保基金安全运行，我市全面推行手机网上认证，我中心狠抓宣传，印制《开展2020年度城居保待遇领取资格认证通知》等宣传资料下发各乡镇村组、金融网点，扎实推进资格认证工作，到目前为止，手机网上认证成功率高，来势较好，有效杜绝了基金流失。二是以内控管理为基础，进一步筑牢基金“安全门”。我们加强与财政、审计部门衔接沟通，切实强化城乡居保基金管理。城居保基金严格执行“收支两条线”管理制度，做到专款专存，专款专用，并自觉接受财政、审计、人社部门监督；建立完善城居保多项管理制度，规范多项业务流程，严格执行“一事双岗双审”制度，防范基金流失；做好并监控基金预算、划拨、发放等环节，确保了基金安全运行。</w:t>
      </w:r>
    </w:p>
    <w:p>
      <w:pPr>
        <w:widowControl/>
        <w:shd w:val="clear" w:color="auto" w:fill="FFFFFF"/>
        <w:spacing w:line="640" w:lineRule="atLeast"/>
        <w:ind w:firstLine="688"/>
        <w:jc w:val="left"/>
        <w:rPr>
          <w:rFonts w:ascii="仿宋" w:hAnsi="仿宋" w:eastAsia="仿宋" w:cs="宋体"/>
          <w:color w:val="333333"/>
          <w:kern w:val="0"/>
          <w:sz w:val="34"/>
          <w:szCs w:val="34"/>
        </w:rPr>
      </w:pPr>
      <w:r>
        <w:rPr>
          <w:rFonts w:hint="eastAsia" w:ascii="仿宋" w:hAnsi="仿宋" w:eastAsia="仿宋"/>
          <w:color w:val="000000"/>
          <w:sz w:val="34"/>
          <w:szCs w:val="34"/>
          <w:shd w:val="clear" w:color="auto" w:fill="FFFFFF"/>
        </w:rPr>
        <w:t>2、</w:t>
      </w:r>
      <w:r>
        <w:rPr>
          <w:rFonts w:hint="eastAsia" w:ascii="仿宋" w:hAnsi="仿宋" w:eastAsia="仿宋"/>
          <w:bCs/>
          <w:color w:val="000000"/>
          <w:sz w:val="34"/>
          <w:szCs w:val="34"/>
          <w:shd w:val="clear" w:color="auto" w:fill="FFFFFF"/>
        </w:rPr>
        <w:t>做好企业职工养老保险省级统筹工作。</w:t>
      </w:r>
      <w:r>
        <w:rPr>
          <w:rFonts w:hint="eastAsia" w:ascii="仿宋" w:hAnsi="仿宋" w:eastAsia="仿宋"/>
          <w:color w:val="000000"/>
          <w:sz w:val="34"/>
          <w:szCs w:val="34"/>
          <w:shd w:val="clear" w:color="auto" w:fill="FFFFFF"/>
        </w:rPr>
        <w:t>根据《湖南省人民政府关于完善企业职工基本养老保险省级统筹制度的通知》（湘政发〔2019〕11号）文件精神，沅江市从2019年7月开始实现企业养老保险省级统筹。省级统筹后，我局主要征缴方面、支出方面和监督方面工作，力争做到应保尽保，严把退休审核关和虚报冒领关。</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3、加强内部控制，确保基金安全</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一是严格按照基金收支两条线管理的要求管理基金，不断加强内部监督，做到了账目明晰、日清月结、准确无误。</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二是强化稽核稽查。督促各镇场街道做好了死亡申报工作及相关公示工作，按照“生存认证办法”对待遇享受人员资格进行严格审验。</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三是内控管理为基础，进一步筑牢基金“安全门”。我们加强与财政、审计部门衔接沟通，切实强化城乡居保基金管理。</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（二）财政预算绩效管理情况</w:t>
      </w:r>
    </w:p>
    <w:p>
      <w:pPr>
        <w:widowControl/>
        <w:shd w:val="clear" w:color="auto" w:fill="FFFFFF"/>
        <w:spacing w:line="480" w:lineRule="auto"/>
        <w:ind w:firstLine="688"/>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2020年我单位认真贯彻执行《会计法》、《预算法》、《行政单位会计制度》等法律法规，认真进行了预算编制，建立健全了单位财务制度，加强了财政专项资金管理，严格按预算进度支付费用，加强了“三公”经费控制，各项经费支出严格按照政府采购、国库集中支付、公务卡支付等有关规定执行,预算执行完成和控制较好。</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五、存在的问题</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（一）预算执行存在偏差。由于年初预算安排经费不足，导致实际经费支出高于年初预算，预算编制与实际情况存在偏差。</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（二）政府采购预算不足。在政府采购执行中，由于预算估计不足，购置的资产数量与预算编制的采购计划存在差异。</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（三）绩效目标设立不够细化和量化。</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六、改进措施和有关建议</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（一）进一步强化预算管理，提高单位预算执行力度。</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（二）进一步做好政府采购预算，严格按照预算实施政府采购。</w:t>
      </w:r>
    </w:p>
    <w:p>
      <w:pPr>
        <w:widowControl/>
        <w:shd w:val="clear" w:color="auto" w:fill="FFFFFF"/>
        <w:spacing w:line="560" w:lineRule="atLeast"/>
        <w:ind w:firstLine="510" w:firstLineChars="150"/>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（三）进一步规范绩效目标编制，在编制项目资金绩效目标时要求指向明确、细化量化、合理可行、相应匹配。</w:t>
      </w:r>
    </w:p>
    <w:p>
      <w:pPr>
        <w:widowControl/>
        <w:shd w:val="clear" w:color="auto" w:fill="FFFFFF"/>
        <w:spacing w:line="480" w:lineRule="auto"/>
        <w:ind w:firstLine="512"/>
        <w:jc w:val="left"/>
        <w:rPr>
          <w:rFonts w:ascii="仿宋" w:hAnsi="仿宋" w:eastAsia="仿宋" w:cs="宋体"/>
          <w:color w:val="333333"/>
          <w:kern w:val="0"/>
          <w:sz w:val="34"/>
          <w:szCs w:val="34"/>
        </w:rPr>
      </w:pPr>
      <w:r>
        <w:rPr>
          <w:rFonts w:hint="eastAsia" w:ascii="仿宋" w:hAnsi="仿宋" w:eastAsia="仿宋" w:cs="宋体"/>
          <w:color w:val="333333"/>
          <w:kern w:val="0"/>
          <w:sz w:val="34"/>
          <w:szCs w:val="34"/>
        </w:rPr>
        <w:t>（四）组织岗位实务学习与培训，及时更新业务知识，让财务人员通过学习能够科学合理地编制部门预算，切实提高部门预算收支管理水平。</w:t>
      </w:r>
    </w:p>
    <w:p>
      <w:pPr>
        <w:widowControl/>
        <w:shd w:val="clear" w:color="auto" w:fill="FFFFFF"/>
        <w:spacing w:line="480" w:lineRule="auto"/>
        <w:ind w:firstLine="4420" w:firstLineChars="1300"/>
        <w:jc w:val="center"/>
        <w:rPr>
          <w:rFonts w:ascii="微软雅黑" w:hAnsi="微软雅黑" w:eastAsia="微软雅黑" w:cs="宋体"/>
          <w:kern w:val="0"/>
          <w:sz w:val="34"/>
          <w:szCs w:val="34"/>
        </w:rPr>
      </w:pPr>
      <w:r>
        <w:rPr>
          <w:rFonts w:hint="eastAsia" w:ascii="仿宋" w:hAnsi="仿宋" w:eastAsia="仿宋" w:cs="宋体"/>
          <w:color w:val="333333"/>
          <w:kern w:val="0"/>
          <w:sz w:val="34"/>
          <w:szCs w:val="34"/>
        </w:rPr>
        <w:t>沅江市社会保险服务中心</w:t>
      </w:r>
    </w:p>
    <w:p>
      <w:pPr>
        <w:widowControl/>
        <w:shd w:val="clear" w:color="auto" w:fill="FFFFFF"/>
        <w:spacing w:line="576" w:lineRule="atLeast"/>
        <w:jc w:val="center"/>
        <w:rPr>
          <w:rFonts w:ascii="微软雅黑" w:hAnsi="微软雅黑" w:eastAsia="微软雅黑" w:cs="宋体"/>
          <w:kern w:val="0"/>
          <w:sz w:val="34"/>
          <w:szCs w:val="34"/>
        </w:rPr>
      </w:pPr>
      <w:r>
        <w:rPr>
          <w:rFonts w:hint="eastAsia" w:ascii="宋体" w:hAnsi="宋体" w:eastAsia="宋体" w:cs="宋体"/>
          <w:color w:val="333333"/>
          <w:kern w:val="0"/>
          <w:sz w:val="34"/>
          <w:szCs w:val="34"/>
        </w:rPr>
        <w:t xml:space="preserve">                            2</w:t>
      </w:r>
      <w:r>
        <w:rPr>
          <w:rFonts w:hint="eastAsia" w:ascii="仿宋" w:hAnsi="仿宋" w:eastAsia="仿宋" w:cs="仿宋"/>
          <w:color w:val="333333"/>
          <w:kern w:val="0"/>
          <w:sz w:val="34"/>
          <w:szCs w:val="34"/>
        </w:rPr>
        <w:t>021</w:t>
      </w:r>
      <w:r>
        <w:rPr>
          <w:rFonts w:hint="eastAsia" w:ascii="仿宋" w:hAnsi="仿宋" w:eastAsia="仿宋" w:cs="宋体"/>
          <w:color w:val="333333"/>
          <w:kern w:val="0"/>
          <w:sz w:val="34"/>
          <w:szCs w:val="34"/>
        </w:rPr>
        <w:t>年7月15日</w:t>
      </w:r>
    </w:p>
    <w:p>
      <w:pPr>
        <w:widowControl/>
        <w:shd w:val="clear" w:color="auto" w:fill="FFFFFF"/>
        <w:spacing w:before="120" w:line="432" w:lineRule="atLeast"/>
        <w:jc w:val="left"/>
        <w:rPr>
          <w:rFonts w:ascii="仿宋" w:hAnsi="仿宋" w:eastAsia="仿宋" w:cs="仿宋"/>
          <w:kern w:val="0"/>
          <w:sz w:val="32"/>
          <w:szCs w:val="32"/>
          <w:shd w:val="clear" w:color="auto" w:fill="FFFFFF"/>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6322"/>
    <w:rsid w:val="004C176F"/>
    <w:rsid w:val="009B1D21"/>
    <w:rsid w:val="00B00F33"/>
    <w:rsid w:val="00B045EF"/>
    <w:rsid w:val="00C36322"/>
    <w:rsid w:val="06E547A0"/>
    <w:rsid w:val="0D002E1D"/>
    <w:rsid w:val="10166172"/>
    <w:rsid w:val="15BB37EC"/>
    <w:rsid w:val="44BA5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7">
    <w:name w:val="页眉 字符"/>
    <w:basedOn w:val="6"/>
    <w:link w:val="3"/>
    <w:qFormat/>
    <w:uiPriority w:val="0"/>
    <w:rPr>
      <w:rFonts w:asciiTheme="minorHAnsi" w:hAnsiTheme="minorHAnsi" w:eastAsiaTheme="minorEastAsia" w:cstheme="minorBidi"/>
      <w:kern w:val="2"/>
      <w:sz w:val="18"/>
      <w:szCs w:val="18"/>
    </w:rPr>
  </w:style>
  <w:style w:type="character" w:customStyle="1" w:styleId="8">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343</Words>
  <Characters>1959</Characters>
  <Lines>16</Lines>
  <Paragraphs>4</Paragraphs>
  <TotalTime>13</TotalTime>
  <ScaleCrop>false</ScaleCrop>
  <LinksUpToDate>false</LinksUpToDate>
  <CharactersWithSpaces>2298</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2022-09-01T03:35:00Z</dcterms:created>
  <dc:creator>tangh</dc:creator>
  <cp:lastModifiedBy>系统管理员 null</cp:lastModifiedBy>
  <dcterms:modified xsi:type="dcterms:W3CDTF">2022-09-02T05:14:02Z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ies>
</file>