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ind w:firstLine="723" w:firstLineChars="200"/>
        <w:jc w:val="center"/>
        <w:rPr>
          <w:rFonts w:cs="黑体" w:asciiTheme="minorEastAsia" w:hAnsiTheme="minorEastAsia"/>
          <w:b/>
          <w:color w:val="000000"/>
          <w:kern w:val="0"/>
          <w:sz w:val="36"/>
          <w:szCs w:val="32"/>
        </w:rPr>
      </w:pPr>
      <w:bookmarkStart w:id="0" w:name="_GoBack"/>
      <w:bookmarkEnd w:id="0"/>
      <w:r>
        <w:rPr>
          <w:rFonts w:hint="eastAsia" w:cs="黑体" w:asciiTheme="minorEastAsia" w:hAnsiTheme="minorEastAsia"/>
          <w:b/>
          <w:color w:val="000000"/>
          <w:kern w:val="0"/>
          <w:sz w:val="36"/>
          <w:szCs w:val="32"/>
        </w:rPr>
        <w:t>2020年度部门整体支出绩效评价报告</w:t>
      </w:r>
    </w:p>
    <w:p>
      <w:pPr>
        <w:widowControl/>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为加强财政支出管理，强化部门绩效和责任意识，提高财政资金使用效益，根据《中共中央、国务院关于全面实施预算绩效管理的意见》（中发〔</w:t>
      </w:r>
      <w:r>
        <w:rPr>
          <w:rFonts w:ascii="宋体" w:hAnsi="宋体" w:eastAsia="宋体" w:cs="宋体"/>
          <w:color w:val="000000"/>
          <w:kern w:val="0"/>
          <w:sz w:val="30"/>
          <w:szCs w:val="30"/>
        </w:rPr>
        <w:t>2018</w:t>
      </w:r>
      <w:r>
        <w:rPr>
          <w:rFonts w:hint="eastAsia" w:ascii="宋体" w:hAnsi="宋体" w:eastAsia="宋体" w:cs="宋体"/>
          <w:color w:val="000000"/>
          <w:kern w:val="0"/>
          <w:sz w:val="30"/>
          <w:szCs w:val="30"/>
        </w:rPr>
        <w:t>〕</w:t>
      </w:r>
      <w:r>
        <w:rPr>
          <w:rFonts w:ascii="宋体" w:hAnsi="宋体" w:eastAsia="宋体" w:cs="宋体"/>
          <w:color w:val="000000"/>
          <w:kern w:val="0"/>
          <w:sz w:val="30"/>
          <w:szCs w:val="30"/>
        </w:rPr>
        <w:t xml:space="preserve">34 </w:t>
      </w:r>
      <w:r>
        <w:rPr>
          <w:rFonts w:hint="eastAsia" w:ascii="宋体" w:hAnsi="宋体" w:eastAsia="宋体" w:cs="宋体"/>
          <w:color w:val="000000"/>
          <w:kern w:val="0"/>
          <w:sz w:val="30"/>
          <w:szCs w:val="30"/>
        </w:rPr>
        <w:t>号）、《中共湖南省委办公厅、湖南省人民政府办公厅关于全面实施预算绩效管理的实施意见》（湘办发〔2020〕</w:t>
      </w:r>
      <w:r>
        <w:rPr>
          <w:rFonts w:ascii="宋体" w:hAnsi="宋体" w:eastAsia="宋体" w:cs="宋体"/>
          <w:color w:val="000000"/>
          <w:kern w:val="0"/>
          <w:sz w:val="30"/>
          <w:szCs w:val="30"/>
        </w:rPr>
        <w:t xml:space="preserve">10 </w:t>
      </w:r>
      <w:r>
        <w:rPr>
          <w:rFonts w:hint="eastAsia" w:ascii="宋体" w:hAnsi="宋体" w:eastAsia="宋体" w:cs="宋体"/>
          <w:color w:val="000000"/>
          <w:kern w:val="0"/>
          <w:sz w:val="30"/>
          <w:szCs w:val="30"/>
        </w:rPr>
        <w:t xml:space="preserve">号）、《湖南省财政厅关于开展 </w:t>
      </w:r>
      <w:r>
        <w:rPr>
          <w:rFonts w:ascii="宋体" w:hAnsi="宋体" w:eastAsia="宋体" w:cs="宋体"/>
          <w:color w:val="000000"/>
          <w:kern w:val="0"/>
          <w:sz w:val="30"/>
          <w:szCs w:val="30"/>
        </w:rPr>
        <w:t xml:space="preserve">2020 </w:t>
      </w:r>
      <w:r>
        <w:rPr>
          <w:rFonts w:hint="eastAsia" w:ascii="宋体" w:hAnsi="宋体" w:eastAsia="宋体" w:cs="宋体"/>
          <w:color w:val="000000"/>
          <w:kern w:val="0"/>
          <w:sz w:val="30"/>
          <w:szCs w:val="30"/>
        </w:rPr>
        <w:t>年度部门绩效自评工作的通知》（湘财绩〔</w:t>
      </w:r>
      <w:r>
        <w:rPr>
          <w:rFonts w:ascii="宋体" w:hAnsi="宋体" w:eastAsia="宋体" w:cs="宋体"/>
          <w:color w:val="000000"/>
          <w:kern w:val="0"/>
          <w:sz w:val="30"/>
          <w:szCs w:val="30"/>
        </w:rPr>
        <w:t>2021</w:t>
      </w:r>
      <w:r>
        <w:rPr>
          <w:rFonts w:hint="eastAsia" w:ascii="宋体" w:hAnsi="宋体" w:eastAsia="宋体" w:cs="宋体"/>
          <w:color w:val="000000"/>
          <w:kern w:val="0"/>
          <w:sz w:val="30"/>
          <w:szCs w:val="30"/>
        </w:rPr>
        <w:t>〕</w:t>
      </w:r>
      <w:r>
        <w:rPr>
          <w:rFonts w:ascii="宋体" w:hAnsi="宋体" w:eastAsia="宋体" w:cs="宋体"/>
          <w:color w:val="000000"/>
          <w:kern w:val="0"/>
          <w:sz w:val="30"/>
          <w:szCs w:val="30"/>
        </w:rPr>
        <w:t xml:space="preserve">1 </w:t>
      </w:r>
      <w:r>
        <w:rPr>
          <w:rFonts w:hint="eastAsia" w:ascii="宋体" w:hAnsi="宋体" w:eastAsia="宋体" w:cs="宋体"/>
          <w:color w:val="000000"/>
          <w:kern w:val="0"/>
          <w:sz w:val="30"/>
          <w:szCs w:val="30"/>
        </w:rPr>
        <w:t>号）等文件精神，并按照市绩效考核办的相关要求，我局客观公正、实事求是的对拨付我局的各项资金的使用情况进行了自查自评，现将有关情况报告如下：</w:t>
      </w:r>
    </w:p>
    <w:p>
      <w:pPr>
        <w:widowControl/>
        <w:adjustRightInd w:val="0"/>
        <w:snapToGrid w:val="0"/>
        <w:spacing w:line="360" w:lineRule="auto"/>
        <w:ind w:left="630" w:leftChars="300" w:right="630" w:rightChars="300" w:firstLine="602" w:firstLineChars="200"/>
        <w:jc w:val="left"/>
        <w:rPr>
          <w:rFonts w:ascii="宋体" w:hAnsi="宋体" w:eastAsia="宋体" w:cs="宋体"/>
          <w:b/>
          <w:bCs/>
          <w:color w:val="000000"/>
          <w:kern w:val="0"/>
          <w:sz w:val="30"/>
          <w:szCs w:val="30"/>
        </w:rPr>
      </w:pPr>
      <w:r>
        <w:rPr>
          <w:rFonts w:hint="eastAsia" w:ascii="宋体" w:hAnsi="宋体" w:eastAsia="宋体" w:cs="宋体"/>
          <w:b/>
          <w:bCs/>
          <w:color w:val="000000"/>
          <w:kern w:val="0"/>
          <w:sz w:val="30"/>
          <w:szCs w:val="30"/>
        </w:rPr>
        <w:t>一、部门基本情况</w:t>
      </w:r>
    </w:p>
    <w:p>
      <w:pPr>
        <w:widowControl/>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（一）机构设置情况</w:t>
      </w:r>
    </w:p>
    <w:p>
      <w:pPr>
        <w:widowControl/>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根据编委核定，沅江市卫生局和沅江市计划生育局于2015年11月合并成立为沅江市卫生和计划生育局，并于2020年4月变更为沅江市卫生健康局，现办公地址设在沅江市科技路润湖园1号楼二楼，内设股室17个。</w:t>
      </w:r>
    </w:p>
    <w:p>
      <w:pPr>
        <w:widowControl/>
        <w:shd w:val="clear" w:color="auto" w:fill="FFFFFF"/>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(二）人员情况</w:t>
      </w:r>
    </w:p>
    <w:p>
      <w:pPr>
        <w:widowControl/>
        <w:shd w:val="clear" w:color="auto" w:fill="FFFFFF"/>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截止2019年12月，市卫生健康局机关纳入部门预算编制145人，其中：公务员及参公人员56人、城镇退伍人员11人。离退休人员78人，其中：离退公务员及参公人员78人，非公务员离退人员0人。遗属5人。</w:t>
      </w:r>
    </w:p>
    <w:p>
      <w:pPr>
        <w:widowControl/>
        <w:shd w:val="clear" w:color="auto" w:fill="FFFFFF"/>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（三）主要工作职能</w:t>
      </w:r>
    </w:p>
    <w:p>
      <w:pPr>
        <w:widowControl/>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1.贯彻执行国民健康政策及国家卫生健康法律法规，拟订全市卫生健康规划并组织实施。统筹规划全市卫生健康服务资源配置，指导区域卫生健康规划的编制和实施。制定并组织实施推进卫生健康基本公共服务均等化、普惠化、便捷化和公共资源向基层延伸等政策措施。</w:t>
      </w:r>
    </w:p>
    <w:p>
      <w:pPr>
        <w:widowControl/>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2.协调推进全市深化医药卫生体制改革，研究提出全市深化医药卫生体制改革政策与措施的建议。组织深化公立医院综合改革，推进管办分离，健全现代医院管理制度，提出医疗服务和药品价格政策的建议。</w:t>
      </w:r>
    </w:p>
    <w:p>
      <w:pPr>
        <w:widowControl/>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3.制定并组织落实全市疾病预防控制规划、免疫规划以及严重危害人民健康公共卫生问题的干预措施。负责卫生应急工作，组织指导突发公共卫生事件的预防控制和各类突发公共事件的医疗救援。</w:t>
      </w:r>
    </w:p>
    <w:p>
      <w:pPr>
        <w:widowControl/>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4.协调落实应对人口老龄化政策措施，推进老年健康服务体系建设和医养结合工作。</w:t>
      </w:r>
    </w:p>
    <w:p>
      <w:pPr>
        <w:widowControl/>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5.贯彻执行国家药物政策和国家基本药物制度，开展药品使用监测、临床综合评价和短缺药品预警。组织开展食品安全风险监测，负责食源性疾病及与食品安全事故有关的流行病学调查。</w:t>
      </w:r>
    </w:p>
    <w:p>
      <w:pPr>
        <w:widowControl/>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6.负责职责范围内的职业卫生、放射卫生、环境卫生、学校卫生、公共场所卫生、饮用水卫生等公共卫生的监督管理。负责传染病防治监督，健全卫生健康综合监督体系。</w:t>
      </w:r>
    </w:p>
    <w:p>
      <w:pPr>
        <w:widowControl/>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7.制定医疗机构、医疗服务行业管理办法并监督实施，建立医疗服务评价和监督管理体系。会同有关部门实施卫生健康专业技术人员资格标准。组织实施医疗服务规范、标准和卫生健康专业技术人员执业规则、服务规范。</w:t>
      </w:r>
    </w:p>
    <w:p>
      <w:pPr>
        <w:widowControl/>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8.负责计划生育管理和服务工作，开展人口监测预警，研究提出人口与家庭发展相关政策建议。</w:t>
      </w:r>
    </w:p>
    <w:p>
      <w:pPr>
        <w:widowControl/>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9.指导全市卫生健康工作，指导基层医疗卫生、妇幼健康服务体系建设，加强全科医生队伍建设。推进卫生健康科技创新发展。</w:t>
      </w:r>
    </w:p>
    <w:p>
      <w:pPr>
        <w:widowControl/>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10.负责全市健康教育、健康促进和卫生健康信息化建设等工作。</w:t>
      </w:r>
    </w:p>
    <w:p>
      <w:pPr>
        <w:widowControl/>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11.负责制定全市中医药中长期发展规划，并纳入全市卫生健康事业发展总体规划和战略目标。</w:t>
      </w:r>
    </w:p>
    <w:p>
      <w:pPr>
        <w:widowControl/>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12.组织拟订并协调落实应对老龄化的政策措施。组织拟订医养结合的政策、标准和规范，建立和完善老年健康服务体系。承担市老龄工作委员会办公室的日常工作。组织实施职业卫生、放射卫生相关政策、标准。开展重点职业病监测、专项调查、职业健康风险评估和职业人群健康管理工作。协调开展职业病防治工作。</w:t>
      </w:r>
    </w:p>
    <w:p>
      <w:pPr>
        <w:widowControl/>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13.指导市计划生育协会的工作。</w:t>
      </w:r>
    </w:p>
    <w:p>
      <w:pPr>
        <w:widowControl/>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14.承办市委、市政府交办的其他任务。</w:t>
      </w:r>
    </w:p>
    <w:p>
      <w:pPr>
        <w:widowControl/>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15.职能转变。沅江市卫生健康局应当牢固树立大卫生、大健康理念，推动实施健康沅江战略，以改革创新为动力，以促健康、转模式、强基层、重保障为着力点，把以治病为中心转变到以人民健康为中心，为人民群众提供全方位全周期健康服务。一是更加注重预防为主和健康促进，加强预防控制重大疾病工作，积极应对人口老龄化，健全健康服务体系。二是更加注重工作重心下移和资源下沉，推进卫生健康公共资源向基层延伸、向农村覆盖、向边远地区和生活困难群众倾斜。三是更加注重提高服务质量和水平，推进卫生健康基本公共服务均等化、普惠化、便捷化。四是协调推进深化医药卫生体制改革，加大公立医院改革力度，推进管办分离，推动卫生健康公共服务提供主体多元化、提供方式多样化。</w:t>
      </w:r>
    </w:p>
    <w:p>
      <w:pPr>
        <w:widowControl/>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16.有关职责分工：</w:t>
      </w:r>
    </w:p>
    <w:p>
      <w:pPr>
        <w:widowControl/>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1）与市发展和改革局的有关职责分工。沅江市卫生健康局负责开展人口监测预警工作，研究提出与生育相关的人口数量、素质、结构、分布方面的政策建议，促进生育政策和相关经济社会政策配套衔接，参与制定人口发展规划和政策，落实市人口发展规划中的有关任务。市发展和改革局负责组织监测和评估人口变动情况及趋势影响，建立人口预测预报制度，开展重大决策人口影响评估，完善重大人口政策咨询机制，研究提出全市人口发展战略，拟订人口发展规划和人口政策，研究提出人口与经济、社会、资源、环境协调可持续发展，以及统筹促进人口长期均衡发展的政策建议。</w:t>
      </w:r>
    </w:p>
    <w:p>
      <w:pPr>
        <w:widowControl/>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2）与市民政局的有关职责分工。沅江市卫生健康局负责拟订应对人口老龄化、医养结合政策措施，综合协调、督促指导、组织推进老龄事业发展，承担老年疾病防治、老年人医疗照护、老年人心理健康与关怀服务等老年健康工作。市民政局负责统筹推进、督促指导、监督管理养老服务工作，拟订养老服务体系建设规划、政策、标准并组织实施，承担老年人福利和特殊困难老年人救助工作。</w:t>
      </w:r>
    </w:p>
    <w:p>
      <w:pPr>
        <w:widowControl/>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3）与市市场监督管理局的有关职责分工。沅江市卫生健康局负责食品安全风险监测工作，会同市市场监督管理局等部门制定、实施食品安全风险监测计划。沅江市卫生健康局对通过食品安全风险监测或者接到举报发现食品可能存在安全隐患的，应当及时将相关信息通报市市场监督管理局等部门，市市场监督管理局等部门应当立即采取措施。市市场监督管理局在监督管理工作中发现需要进行食品安全风险评估的，应当及时向沅江市卫生健康局提出建议。市市场监督管理局会同沅江市卫生健康局建立重大药品不良反应和医疗器械不良事件相互通报机制和联合处置机制。</w:t>
      </w:r>
    </w:p>
    <w:p>
      <w:pPr>
        <w:widowControl/>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4）与市医疗保障局的有关职责分工。沅江市卫生健康局、市医疗保障局等部门在医疗、医保、医药等方面加强制度、政策和信息衔接，建立沟通协商机制，协同推进改革，提高医疗资源使用效率和医疗保障水平。</w:t>
      </w:r>
    </w:p>
    <w:p>
      <w:pPr>
        <w:widowControl/>
        <w:shd w:val="clear" w:color="auto" w:fill="FFFFFF"/>
        <w:adjustRightInd w:val="0"/>
        <w:snapToGrid w:val="0"/>
        <w:spacing w:line="360" w:lineRule="auto"/>
        <w:ind w:left="630" w:leftChars="300" w:right="630" w:rightChars="300" w:firstLine="602" w:firstLineChars="200"/>
        <w:jc w:val="left"/>
        <w:rPr>
          <w:rFonts w:ascii="宋体" w:hAnsi="宋体" w:eastAsia="宋体" w:cs="宋体"/>
          <w:color w:val="000000"/>
          <w:kern w:val="0"/>
          <w:sz w:val="30"/>
          <w:szCs w:val="30"/>
        </w:rPr>
      </w:pPr>
      <w:r>
        <w:rPr>
          <w:rFonts w:hint="eastAsia" w:ascii="宋体" w:hAnsi="宋体" w:eastAsia="宋体" w:cs="宋体"/>
          <w:b/>
          <w:bCs/>
          <w:color w:val="000000"/>
          <w:kern w:val="0"/>
          <w:sz w:val="30"/>
          <w:szCs w:val="30"/>
        </w:rPr>
        <w:t>二、部门整体支出管理及使用情况</w:t>
      </w:r>
    </w:p>
    <w:p>
      <w:pPr>
        <w:widowControl/>
        <w:shd w:val="clear" w:color="auto" w:fill="FFFFFF"/>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2020年部门预算包括本级预算和所属单位预算在内的汇总情况。按照预算管理有关规定，部门预算的编制实行综合预算制度，即全部收入和支出都反映在预算中。支出情况分别按资金来源、项目类别、功能分类科目和经济分类科目反映。</w:t>
      </w:r>
    </w:p>
    <w:p>
      <w:pPr>
        <w:widowControl/>
        <w:shd w:val="clear" w:color="auto" w:fill="FFFFFF"/>
        <w:adjustRightInd w:val="0"/>
        <w:snapToGrid w:val="0"/>
        <w:spacing w:line="360" w:lineRule="auto"/>
        <w:ind w:left="630" w:leftChars="300" w:right="630" w:rightChars="300" w:firstLine="602" w:firstLineChars="200"/>
        <w:jc w:val="left"/>
        <w:rPr>
          <w:rFonts w:ascii="宋体" w:hAnsi="宋体" w:eastAsia="宋体" w:cs="宋体"/>
          <w:color w:val="000000"/>
          <w:kern w:val="0"/>
          <w:sz w:val="30"/>
          <w:szCs w:val="30"/>
        </w:rPr>
      </w:pPr>
      <w:r>
        <w:rPr>
          <w:rFonts w:hint="eastAsia" w:ascii="宋体" w:hAnsi="宋体" w:eastAsia="宋体" w:cs="宋体"/>
          <w:b/>
          <w:bCs/>
          <w:color w:val="000000"/>
          <w:kern w:val="0"/>
          <w:sz w:val="30"/>
          <w:szCs w:val="30"/>
        </w:rPr>
        <w:t>（一）2020年年初总预算收支情况</w:t>
      </w:r>
    </w:p>
    <w:p>
      <w:pPr>
        <w:widowControl/>
        <w:shd w:val="clear" w:color="auto" w:fill="FFFFFF"/>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2020年单位预算收入1212.666万元，其中：一般公共预算拨款1212.666万元，纳入公共预算管理的非税拨款0万元，政府性基金拨款0万元，纳入专户管理的非税收入0万元，事业单位经营收入0万元，其他收入0万元。</w:t>
      </w:r>
    </w:p>
    <w:p>
      <w:pPr>
        <w:widowControl/>
        <w:shd w:val="clear" w:color="auto" w:fill="FFFFFF"/>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2020年单位预算支出1212.666万元，其中：</w:t>
      </w:r>
    </w:p>
    <w:p>
      <w:pPr>
        <w:widowControl/>
        <w:shd w:val="clear" w:color="auto" w:fill="FFFFFF"/>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1.按支出项目类别分：</w:t>
      </w:r>
    </w:p>
    <w:p>
      <w:pPr>
        <w:widowControl/>
        <w:shd w:val="clear" w:color="auto" w:fill="FFFFFF"/>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基本支出735.466万元，分别为：人员经费支出662.466万元，公用经费支出73万元，主要是保障单位机构正常运转、完成日常工作任务而发生的各项支出，包括用于基本工资、津贴补贴等人员经费以及办公费、印刷费、水电费、办公设备购置等日常公用经费。</w:t>
      </w:r>
    </w:p>
    <w:p>
      <w:pPr>
        <w:widowControl/>
        <w:shd w:val="clear" w:color="auto" w:fill="FFFFFF"/>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项目支出477.2万元，主要用于借调人员工资、财务业务费、会议费、办公用房租金、爱卫经费、核算中心工作经费、医改专项经费、科研费、军属药费、培训费、食品安全专项经费、基本公共卫生专项经费、计生宣传专项经费、病残儿童鉴定及手术并发症鉴定专项经费、计生打击“两非”专项经费、计划生育流动人口管理和服务专项经费、计生手术经费、手术并发症专项经费、基层基础专项经费、计生药具专项经费等方面；</w:t>
      </w:r>
    </w:p>
    <w:p>
      <w:pPr>
        <w:widowControl/>
        <w:shd w:val="clear" w:color="auto" w:fill="FFFFFF"/>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 xml:space="preserve"> 2.按支出功能分类股目：</w:t>
      </w:r>
    </w:p>
    <w:p>
      <w:pPr>
        <w:widowControl/>
        <w:shd w:val="clear" w:color="auto" w:fill="FFFFFF"/>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2100101行政运行（医疗卫生管理事务）684.772万元；</w:t>
      </w:r>
    </w:p>
    <w:p>
      <w:pPr>
        <w:widowControl/>
        <w:shd w:val="clear" w:color="auto" w:fill="FFFFFF"/>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2100102一般行政管理事务（医疗卫生管理事务）254.2万元；</w:t>
      </w:r>
    </w:p>
    <w:p>
      <w:pPr>
        <w:widowControl/>
        <w:shd w:val="clear" w:color="auto" w:fill="FFFFFF"/>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2100799其他计划生育事务支出223万元；</w:t>
      </w:r>
    </w:p>
    <w:p>
      <w:pPr>
        <w:widowControl/>
        <w:shd w:val="clear" w:color="auto" w:fill="FFFFFF"/>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2210201住房公积金50.694万元。</w:t>
      </w:r>
    </w:p>
    <w:p>
      <w:pPr>
        <w:widowControl/>
        <w:shd w:val="clear" w:color="auto" w:fill="FFFFFF"/>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3.按支出经济分类股目：</w:t>
      </w:r>
    </w:p>
    <w:p>
      <w:pPr>
        <w:widowControl/>
        <w:shd w:val="clear" w:color="auto" w:fill="FFFFFF"/>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工资福利支出614.02万元；</w:t>
      </w:r>
    </w:p>
    <w:p>
      <w:pPr>
        <w:widowControl/>
        <w:shd w:val="clear" w:color="auto" w:fill="FFFFFF"/>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商品和服务支出73万元；</w:t>
      </w:r>
    </w:p>
    <w:p>
      <w:pPr>
        <w:widowControl/>
        <w:shd w:val="clear" w:color="auto" w:fill="FFFFFF"/>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对个人和家庭的补助支出48.446万元；</w:t>
      </w:r>
    </w:p>
    <w:p>
      <w:pPr>
        <w:widowControl/>
        <w:shd w:val="clear" w:color="auto" w:fill="FFFFFF"/>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项目支出477.2万元；</w:t>
      </w:r>
    </w:p>
    <w:p>
      <w:pPr>
        <w:widowControl/>
        <w:shd w:val="clear" w:color="auto" w:fill="FFFFFF"/>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2020年全年收支预算平衡。</w:t>
      </w:r>
    </w:p>
    <w:p>
      <w:pPr>
        <w:widowControl/>
        <w:shd w:val="clear" w:color="auto" w:fill="FFFFFF"/>
        <w:adjustRightInd w:val="0"/>
        <w:snapToGrid w:val="0"/>
        <w:spacing w:line="360" w:lineRule="auto"/>
        <w:ind w:left="630" w:leftChars="300" w:right="630" w:rightChars="300" w:firstLine="600" w:firstLineChars="200"/>
        <w:jc w:val="left"/>
        <w:rPr>
          <w:rFonts w:ascii="宋体" w:hAnsi="宋体" w:eastAsia="宋体" w:cs="宋体"/>
          <w:b/>
          <w:bCs/>
          <w:color w:val="000000"/>
          <w:kern w:val="0"/>
          <w:sz w:val="30"/>
          <w:szCs w:val="30"/>
        </w:rPr>
      </w:pPr>
      <w:r>
        <w:rPr>
          <w:rFonts w:hint="eastAsia" w:ascii="宋体" w:hAnsi="宋体" w:eastAsia="宋体" w:cs="宋体"/>
          <w:color w:val="000000"/>
          <w:kern w:val="0"/>
          <w:sz w:val="30"/>
          <w:szCs w:val="30"/>
        </w:rPr>
        <w:t>　</w:t>
      </w:r>
      <w:r>
        <w:rPr>
          <w:rFonts w:hint="eastAsia" w:ascii="宋体" w:hAnsi="宋体" w:eastAsia="宋体" w:cs="宋体"/>
          <w:b/>
          <w:bCs/>
          <w:color w:val="000000"/>
          <w:kern w:val="0"/>
          <w:sz w:val="30"/>
          <w:szCs w:val="30"/>
        </w:rPr>
        <w:t>（二）2020年预算收支决算情况</w:t>
      </w:r>
    </w:p>
    <w:p>
      <w:pPr>
        <w:widowControl/>
        <w:shd w:val="clear" w:color="auto" w:fill="FFFFFF"/>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2020年单位实际收入3203.51万元，其中:财政拨款收入3203.51万元，事业收入0万元。</w:t>
      </w:r>
    </w:p>
    <w:p>
      <w:pPr>
        <w:widowControl/>
        <w:shd w:val="clear" w:color="auto" w:fill="FFFFFF"/>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2020年单位实际支出3203.51万元，其中：基本支出1483.18万元，项目支出1720.33万元。</w:t>
      </w:r>
    </w:p>
    <w:p>
      <w:pPr>
        <w:widowControl/>
        <w:shd w:val="clear" w:color="auto" w:fill="FFFFFF"/>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支出明细如下：工资福利支出1088.53万元，商品和服务支出358.66万元，对个人和家庭的补助35.99万元.</w:t>
      </w:r>
    </w:p>
    <w:p>
      <w:pPr>
        <w:widowControl/>
        <w:shd w:val="clear" w:color="auto" w:fill="FFFFFF"/>
        <w:adjustRightInd w:val="0"/>
        <w:snapToGrid w:val="0"/>
        <w:spacing w:line="360" w:lineRule="auto"/>
        <w:ind w:left="630" w:leftChars="300" w:right="630" w:rightChars="300" w:firstLine="602" w:firstLineChars="200"/>
        <w:jc w:val="left"/>
        <w:rPr>
          <w:rFonts w:ascii="宋体" w:hAnsi="宋体" w:eastAsia="宋体" w:cs="宋体"/>
          <w:b/>
          <w:bCs/>
          <w:color w:val="000000"/>
          <w:kern w:val="0"/>
          <w:sz w:val="30"/>
          <w:szCs w:val="30"/>
        </w:rPr>
      </w:pPr>
      <w:r>
        <w:rPr>
          <w:rFonts w:hint="eastAsia" w:ascii="宋体" w:hAnsi="宋体" w:eastAsia="宋体" w:cs="宋体"/>
          <w:b/>
          <w:bCs/>
          <w:color w:val="000000"/>
          <w:kern w:val="0"/>
          <w:sz w:val="30"/>
          <w:szCs w:val="30"/>
        </w:rPr>
        <w:t>（三）存在的问题</w:t>
      </w:r>
    </w:p>
    <w:p>
      <w:pPr>
        <w:adjustRightInd w:val="0"/>
        <w:snapToGrid w:val="0"/>
        <w:spacing w:line="360" w:lineRule="auto"/>
        <w:ind w:left="630" w:leftChars="300" w:right="630" w:rightChars="300" w:firstLine="602" w:firstLineChars="200"/>
        <w:jc w:val="left"/>
        <w:rPr>
          <w:rFonts w:ascii="宋体" w:hAnsi="宋体" w:eastAsia="宋体" w:cs="宋体"/>
          <w:kern w:val="0"/>
          <w:sz w:val="30"/>
          <w:szCs w:val="30"/>
          <w:lang w:val="zh-TW" w:eastAsia="zh-TW" w:bidi="zh-TW"/>
        </w:rPr>
      </w:pPr>
      <w:r>
        <w:rPr>
          <w:rFonts w:hint="eastAsia" w:ascii="宋体" w:hAnsi="宋体" w:eastAsia="宋体" w:cs="宋体"/>
          <w:b/>
          <w:bCs/>
          <w:color w:val="000000"/>
          <w:kern w:val="0"/>
          <w:sz w:val="30"/>
          <w:szCs w:val="30"/>
          <w:lang w:bidi="zh-TW"/>
        </w:rPr>
        <w:t>1.财政</w:t>
      </w:r>
      <w:r>
        <w:rPr>
          <w:rFonts w:ascii="宋体" w:hAnsi="宋体" w:eastAsia="宋体" w:cs="宋体"/>
          <w:b/>
          <w:bCs/>
          <w:color w:val="000000"/>
          <w:kern w:val="0"/>
          <w:sz w:val="30"/>
          <w:szCs w:val="30"/>
          <w:lang w:val="zh-TW" w:eastAsia="zh-TW" w:bidi="zh-TW"/>
        </w:rPr>
        <w:t>预算</w:t>
      </w:r>
      <w:r>
        <w:rPr>
          <w:rFonts w:hint="eastAsia" w:ascii="宋体" w:hAnsi="宋体" w:eastAsia="宋体" w:cs="宋体"/>
          <w:b/>
          <w:bCs/>
          <w:color w:val="000000"/>
          <w:kern w:val="0"/>
          <w:sz w:val="30"/>
          <w:szCs w:val="30"/>
          <w:lang w:bidi="zh-TW"/>
        </w:rPr>
        <w:t>人员经费不足，部分单位资金压力紧张。</w:t>
      </w:r>
    </w:p>
    <w:p>
      <w:pPr>
        <w:adjustRightInd w:val="0"/>
        <w:snapToGrid w:val="0"/>
        <w:spacing w:line="360" w:lineRule="auto"/>
        <w:ind w:left="630" w:leftChars="300" w:right="630" w:rightChars="300" w:firstLine="600" w:firstLineChars="200"/>
        <w:rPr>
          <w:rFonts w:ascii="宋体" w:hAnsi="宋体" w:eastAsia="宋体" w:cs="宋体"/>
          <w:kern w:val="0"/>
          <w:sz w:val="30"/>
          <w:szCs w:val="30"/>
          <w:lang w:val="zh-TW" w:eastAsia="zh-TW" w:bidi="zh-TW"/>
        </w:rPr>
      </w:pPr>
      <w:r>
        <w:rPr>
          <w:rFonts w:hint="eastAsia" w:ascii="宋体" w:hAnsi="宋体" w:eastAsia="宋体" w:cs="宋体"/>
          <w:color w:val="000000"/>
          <w:kern w:val="0"/>
          <w:sz w:val="30"/>
          <w:szCs w:val="30"/>
          <w:lang w:bidi="zh-TW"/>
        </w:rPr>
        <w:t>由于历年问题的积累，财政部门可能存在资金紧张等原因，我市卫健系统的人员补助经费一直预算不足，造成部分基层医疗卫生单位的资金压力紧张，步履维艰</w:t>
      </w:r>
      <w:r>
        <w:rPr>
          <w:rFonts w:ascii="宋体" w:hAnsi="宋体" w:eastAsia="宋体" w:cs="宋体"/>
          <w:color w:val="000000"/>
          <w:kern w:val="0"/>
          <w:sz w:val="30"/>
          <w:szCs w:val="30"/>
          <w:lang w:val="zh-TW" w:eastAsia="zh-TW" w:bidi="zh-TW"/>
        </w:rPr>
        <w:t>。</w:t>
      </w:r>
    </w:p>
    <w:p>
      <w:pPr>
        <w:tabs>
          <w:tab w:val="left" w:pos="2036"/>
        </w:tabs>
        <w:adjustRightInd w:val="0"/>
        <w:snapToGrid w:val="0"/>
        <w:spacing w:line="360" w:lineRule="auto"/>
        <w:ind w:left="630" w:leftChars="300" w:right="630" w:rightChars="300" w:firstLine="602" w:firstLineChars="200"/>
        <w:rPr>
          <w:rFonts w:ascii="宋体" w:hAnsi="宋体" w:eastAsia="宋体" w:cs="宋体"/>
          <w:kern w:val="0"/>
          <w:sz w:val="30"/>
          <w:szCs w:val="30"/>
          <w:lang w:val="zh-TW" w:eastAsia="zh-TW" w:bidi="zh-TW"/>
        </w:rPr>
      </w:pPr>
      <w:r>
        <w:rPr>
          <w:rFonts w:hint="eastAsia" w:ascii="宋体" w:hAnsi="宋体" w:eastAsia="宋体" w:cs="宋体"/>
          <w:b/>
          <w:bCs/>
          <w:color w:val="000000"/>
          <w:kern w:val="0"/>
          <w:sz w:val="30"/>
          <w:szCs w:val="30"/>
          <w:lang w:bidi="zh-TW"/>
        </w:rPr>
        <w:t>2.</w:t>
      </w:r>
      <w:r>
        <w:rPr>
          <w:rFonts w:ascii="宋体" w:hAnsi="宋体" w:eastAsia="宋体" w:cs="宋体"/>
          <w:b/>
          <w:bCs/>
          <w:color w:val="000000"/>
          <w:kern w:val="0"/>
          <w:sz w:val="30"/>
          <w:szCs w:val="30"/>
          <w:lang w:val="zh-TW" w:eastAsia="zh-TW" w:bidi="zh-TW"/>
        </w:rPr>
        <w:t>个别专项资金拨付不及时，影响资金时效发挥及项目进度</w:t>
      </w:r>
    </w:p>
    <w:p>
      <w:pPr>
        <w:adjustRightInd w:val="0"/>
        <w:snapToGrid w:val="0"/>
        <w:spacing w:line="360" w:lineRule="auto"/>
        <w:ind w:left="630" w:leftChars="300" w:right="630" w:rightChars="300" w:firstLine="600" w:firstLineChars="200"/>
        <w:rPr>
          <w:rFonts w:ascii="宋体" w:hAnsi="宋体" w:eastAsia="宋体" w:cs="宋体"/>
          <w:kern w:val="0"/>
          <w:sz w:val="30"/>
          <w:szCs w:val="30"/>
          <w:lang w:val="zh-TW" w:eastAsia="zh-TW" w:bidi="zh-TW"/>
        </w:rPr>
      </w:pPr>
      <w:r>
        <w:rPr>
          <w:rFonts w:ascii="宋体" w:hAnsi="宋体" w:eastAsia="宋体" w:cs="宋体"/>
          <w:color w:val="000000"/>
          <w:kern w:val="0"/>
          <w:sz w:val="30"/>
          <w:szCs w:val="30"/>
          <w:lang w:val="zh-TW" w:eastAsia="zh-TW" w:bidi="zh-TW"/>
        </w:rPr>
        <w:t>在专项资金的拨付过程中，拨付环节较多，</w:t>
      </w:r>
      <w:r>
        <w:rPr>
          <w:rFonts w:hint="eastAsia" w:ascii="宋体" w:hAnsi="宋体" w:eastAsia="宋体" w:cs="宋体"/>
          <w:color w:val="000000"/>
          <w:kern w:val="0"/>
          <w:sz w:val="30"/>
          <w:szCs w:val="30"/>
          <w:lang w:bidi="zh-TW"/>
        </w:rPr>
        <w:t>部分</w:t>
      </w:r>
      <w:r>
        <w:rPr>
          <w:rFonts w:ascii="宋体" w:hAnsi="宋体" w:eastAsia="宋体" w:cs="宋体"/>
          <w:color w:val="000000"/>
          <w:kern w:val="0"/>
          <w:sz w:val="30"/>
          <w:szCs w:val="30"/>
          <w:lang w:val="zh-TW" w:eastAsia="zh-TW" w:bidi="zh-TW"/>
        </w:rPr>
        <w:t>资金拨付至项目实施单位时存在不及时的情况，突出表现为年底突击拨款，造成项目资金到位滞后，在一定程度上影响了资金时效发挥及项目进度。</w:t>
      </w:r>
    </w:p>
    <w:p>
      <w:pPr>
        <w:adjustRightInd w:val="0"/>
        <w:snapToGrid w:val="0"/>
        <w:spacing w:line="360" w:lineRule="auto"/>
        <w:ind w:left="630" w:leftChars="300" w:right="630" w:rightChars="300" w:firstLine="602" w:firstLineChars="200"/>
        <w:jc w:val="left"/>
        <w:rPr>
          <w:rFonts w:ascii="宋体" w:hAnsi="宋体" w:eastAsia="宋体" w:cs="宋体"/>
          <w:b/>
          <w:bCs/>
          <w:color w:val="000000"/>
          <w:kern w:val="0"/>
          <w:sz w:val="30"/>
          <w:szCs w:val="30"/>
          <w:lang w:bidi="zh-TW"/>
        </w:rPr>
      </w:pPr>
      <w:r>
        <w:rPr>
          <w:rFonts w:hint="eastAsia" w:ascii="宋体" w:hAnsi="宋体" w:eastAsia="宋体" w:cs="宋体"/>
          <w:b/>
          <w:bCs/>
          <w:color w:val="000000"/>
          <w:kern w:val="0"/>
          <w:sz w:val="30"/>
          <w:szCs w:val="30"/>
          <w:lang w:bidi="zh-TW"/>
        </w:rPr>
        <w:t>3.高水平专业人才缺乏，人才队伍水平参差不齐</w:t>
      </w:r>
    </w:p>
    <w:p>
      <w:pPr>
        <w:widowControl/>
        <w:shd w:val="clear" w:color="auto" w:fill="FFFFFF"/>
        <w:adjustRightInd w:val="0"/>
        <w:snapToGrid w:val="0"/>
        <w:spacing w:line="360" w:lineRule="auto"/>
        <w:ind w:left="630" w:leftChars="300" w:right="630" w:rightChars="300" w:firstLine="602" w:firstLineChars="200"/>
        <w:jc w:val="left"/>
        <w:rPr>
          <w:rFonts w:ascii="宋体" w:hAnsi="宋体" w:eastAsia="宋体" w:cs="宋体"/>
          <w:b/>
          <w:bCs/>
          <w:color w:val="000000"/>
          <w:kern w:val="0"/>
          <w:sz w:val="30"/>
          <w:szCs w:val="30"/>
        </w:rPr>
      </w:pPr>
      <w:r>
        <w:rPr>
          <w:rFonts w:hint="eastAsia" w:ascii="宋体" w:hAnsi="宋体" w:eastAsia="宋体" w:cs="宋体"/>
          <w:b/>
          <w:bCs/>
          <w:color w:val="000000"/>
          <w:kern w:val="0"/>
          <w:sz w:val="30"/>
          <w:szCs w:val="30"/>
        </w:rPr>
        <w:t>（四）改进措施和有关建议</w:t>
      </w:r>
    </w:p>
    <w:p>
      <w:pPr>
        <w:widowControl/>
        <w:shd w:val="clear" w:color="auto" w:fill="FFFFFF"/>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1.加强人才队伍建设，力争做出能吸引人才、培养人才、留得住人才的长远规划。</w:t>
      </w:r>
    </w:p>
    <w:p>
      <w:pPr>
        <w:widowControl/>
        <w:shd w:val="clear" w:color="auto" w:fill="FFFFFF"/>
        <w:adjustRightInd w:val="0"/>
        <w:snapToGrid w:val="0"/>
        <w:spacing w:line="360" w:lineRule="auto"/>
        <w:ind w:left="630" w:leftChars="300" w:right="630" w:rightChars="300" w:firstLine="600" w:firstLineChars="200"/>
        <w:jc w:val="left"/>
        <w:rPr>
          <w:rFonts w:ascii="宋体" w:hAnsi="宋体" w:eastAsia="宋体" w:cs="宋体"/>
          <w:color w:val="000000"/>
          <w:kern w:val="0"/>
          <w:sz w:val="30"/>
          <w:szCs w:val="30"/>
        </w:rPr>
      </w:pPr>
      <w:r>
        <w:rPr>
          <w:rFonts w:hint="eastAsia" w:ascii="宋体" w:hAnsi="宋体" w:eastAsia="宋体" w:cs="宋体"/>
          <w:color w:val="000000"/>
          <w:kern w:val="0"/>
          <w:sz w:val="30"/>
          <w:szCs w:val="30"/>
        </w:rPr>
        <w:t>2.加大财政预算人员经费投入。</w:t>
      </w:r>
    </w:p>
    <w:p>
      <w:pPr>
        <w:widowControl/>
        <w:shd w:val="clear" w:color="auto" w:fill="FFFFFF"/>
        <w:spacing w:before="120" w:line="432" w:lineRule="atLeast"/>
        <w:jc w:val="left"/>
        <w:rPr>
          <w:rFonts w:ascii="仿宋" w:hAnsi="仿宋" w:eastAsia="仿宋" w:cs="仿宋"/>
          <w:kern w:val="0"/>
          <w:sz w:val="32"/>
          <w:szCs w:val="32"/>
          <w:shd w:val="clear" w:color="auto" w:fill="FFFFFF"/>
          <w:lang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57D6"/>
    <w:rsid w:val="002B57D6"/>
    <w:rsid w:val="003A671D"/>
    <w:rsid w:val="00D871E3"/>
    <w:rsid w:val="06E547A0"/>
    <w:rsid w:val="0D002E1D"/>
    <w:rsid w:val="15BB37EC"/>
    <w:rsid w:val="38022596"/>
    <w:rsid w:val="44BA55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581</Words>
  <Characters>3313</Characters>
  <Lines>27</Lines>
  <Paragraphs>7</Paragraphs>
  <TotalTime>11</TotalTime>
  <ScaleCrop>false</ScaleCrop>
  <LinksUpToDate>false</LinksUpToDate>
  <CharactersWithSpaces>3887</CharactersWithSpaces>
  <Application>WPS Office_11.8.2.8721_F1E327BC-269C-435d-A152-05C5408002CA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2022-09-01T03:35:00Z</dcterms:created>
  <dc:creator>tangh</dc:creator>
  <cp:lastModifiedBy>系统管理员 null</cp:lastModifiedBy>
  <dcterms:modified xsi:type="dcterms:W3CDTF">2022-09-02T05:14:49Z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2052-11.8.2.8721</vt:lpwstr>
  </property>
</Properties>
</file>