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600" w:lineRule="exact"/>
        <w:jc w:val="center"/>
        <w:rPr>
          <w:rFonts w:hint="eastAsia" w:ascii="方正小标宋简体" w:hAnsi="宋体" w:eastAsia="方正小标宋简体" w:cs="宋体"/>
          <w:b/>
          <w:color w:val="000000"/>
          <w:kern w:val="0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宋体" w:eastAsia="方正小标宋简体" w:cs="宋体"/>
          <w:b/>
          <w:color w:val="000000"/>
          <w:kern w:val="0"/>
          <w:sz w:val="44"/>
          <w:szCs w:val="44"/>
        </w:rPr>
        <w:t>2020年度沅江市劳动监察局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方正小标宋简体" w:hAnsi="宋体" w:eastAsia="方正小标宋简体"/>
          <w:b/>
          <w:color w:val="000000"/>
          <w:kern w:val="0"/>
          <w:sz w:val="44"/>
          <w:szCs w:val="44"/>
        </w:rPr>
      </w:pPr>
      <w:r>
        <w:rPr>
          <w:rFonts w:hint="eastAsia" w:ascii="方正小标宋简体" w:hAnsi="宋体" w:eastAsia="方正小标宋简体"/>
          <w:b/>
          <w:color w:val="000000"/>
          <w:kern w:val="0"/>
          <w:sz w:val="44"/>
          <w:szCs w:val="44"/>
        </w:rPr>
        <w:t>预算绩效</w:t>
      </w:r>
      <w:r>
        <w:rPr>
          <w:rFonts w:hint="eastAsia" w:ascii="方正小标宋简体" w:hAnsi="宋体" w:eastAsia="方正小标宋简体" w:cs="宋体"/>
          <w:b/>
          <w:color w:val="000000"/>
          <w:kern w:val="0"/>
          <w:sz w:val="44"/>
          <w:szCs w:val="44"/>
        </w:rPr>
        <w:t>评价</w:t>
      </w:r>
      <w:r>
        <w:rPr>
          <w:rFonts w:hint="eastAsia" w:ascii="方正小标宋简体" w:hAnsi="宋体" w:eastAsia="方正小标宋简体"/>
          <w:b/>
          <w:color w:val="000000"/>
          <w:kern w:val="0"/>
          <w:sz w:val="44"/>
          <w:szCs w:val="44"/>
        </w:rPr>
        <w:t>报告</w:t>
      </w:r>
    </w:p>
    <w:p>
      <w:pPr>
        <w:widowControl/>
        <w:shd w:val="clear" w:color="auto" w:fill="FFFFFF"/>
        <w:spacing w:line="600" w:lineRule="exact"/>
        <w:jc w:val="center"/>
        <w:rPr>
          <w:rFonts w:hint="eastAsia" w:ascii="宋体" w:hAnsi="宋体" w:cs="宋体"/>
          <w:b/>
          <w:color w:val="000000"/>
          <w:kern w:val="0"/>
          <w:sz w:val="44"/>
          <w:szCs w:val="44"/>
        </w:rPr>
      </w:pPr>
    </w:p>
    <w:p>
      <w:pPr>
        <w:spacing w:line="600" w:lineRule="exact"/>
        <w:ind w:firstLine="627" w:firstLineChars="196"/>
        <w:rPr>
          <w:rFonts w:hint="eastAsia" w:ascii="方正仿宋简体" w:hAnsi="宋体" w:eastAsia="方正仿宋简体"/>
          <w:color w:val="000000"/>
          <w:spacing w:val="6"/>
          <w:kern w:val="0"/>
          <w:sz w:val="28"/>
          <w:szCs w:val="28"/>
        </w:rPr>
      </w:pPr>
      <w:r>
        <w:rPr>
          <w:rFonts w:ascii="宋体" w:hAnsi="宋体"/>
          <w:color w:val="000000"/>
          <w:kern w:val="0"/>
          <w:sz w:val="32"/>
        </w:rPr>
        <w:t> </w:t>
      </w: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为进一步贯彻《预算法》讲究绩效原则，加强预算绩效管理，</w:t>
      </w:r>
      <w:r>
        <w:rPr>
          <w:rFonts w:hint="eastAsia" w:ascii="方正仿宋简体" w:hAnsi="宋体" w:eastAsia="方正仿宋简体"/>
          <w:color w:val="000000"/>
          <w:spacing w:val="10"/>
          <w:kern w:val="0"/>
          <w:sz w:val="28"/>
          <w:szCs w:val="28"/>
        </w:rPr>
        <w:t>我单位</w:t>
      </w:r>
      <w:r>
        <w:rPr>
          <w:rFonts w:hint="eastAsia" w:ascii="方正仿宋简体" w:hAnsi="宋体" w:eastAsia="方正仿宋简体"/>
          <w:color w:val="000000"/>
          <w:spacing w:val="13"/>
          <w:kern w:val="0"/>
          <w:sz w:val="28"/>
          <w:szCs w:val="28"/>
        </w:rPr>
        <w:t>2020</w:t>
      </w: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年度预算资金绩效评价如下：</w:t>
      </w:r>
    </w:p>
    <w:p>
      <w:pPr>
        <w:widowControl/>
        <w:shd w:val="clear" w:color="auto" w:fill="FFFFFF"/>
        <w:spacing w:line="600" w:lineRule="exact"/>
        <w:ind w:firstLine="640"/>
        <w:jc w:val="left"/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b/>
          <w:color w:val="000000"/>
          <w:kern w:val="0"/>
          <w:sz w:val="28"/>
          <w:szCs w:val="28"/>
        </w:rPr>
        <w:t>一、单位</w:t>
      </w:r>
      <w:r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  <w:t>基本情况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 w:cs="宋体"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 w:cs="宋体"/>
          <w:color w:val="000000"/>
          <w:kern w:val="0"/>
          <w:sz w:val="28"/>
          <w:szCs w:val="28"/>
        </w:rPr>
        <w:t>1、机构设置情况</w:t>
      </w: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 w:cs="宋体"/>
          <w:color w:val="00000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沅江市劳动监察局为人社局独立核算的二级机构。</w:t>
      </w:r>
    </w:p>
    <w:p>
      <w:pPr>
        <w:widowControl/>
        <w:shd w:val="clear" w:color="auto" w:fill="FFFFFF"/>
        <w:spacing w:line="600" w:lineRule="exact"/>
        <w:ind w:firstLine="560" w:firstLineChars="200"/>
        <w:rPr>
          <w:rFonts w:hint="eastAsia" w:ascii="方正楷体简体" w:hAnsi="宋体" w:eastAsia="方正楷体简体" w:cs="宋体"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 w:cs="宋体"/>
          <w:color w:val="000000"/>
          <w:kern w:val="0"/>
          <w:sz w:val="28"/>
          <w:szCs w:val="28"/>
        </w:rPr>
        <w:t>2、人员情况</w:t>
      </w:r>
    </w:p>
    <w:p>
      <w:pPr>
        <w:spacing w:line="600" w:lineRule="exact"/>
        <w:jc w:val="left"/>
        <w:rPr>
          <w:rFonts w:hint="eastAsia" w:ascii="方正仿宋简体" w:hAnsi="宋体" w:eastAsia="方正仿宋简体" w:cs="宋体"/>
          <w:color w:val="000000"/>
          <w:spacing w:val="13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 xml:space="preserve">    沅江市劳动监察局</w:t>
      </w:r>
      <w:r>
        <w:rPr>
          <w:rFonts w:hint="eastAsia" w:ascii="方正仿宋简体" w:hAnsi="宋体" w:eastAsia="方正仿宋简体"/>
          <w:color w:val="000000"/>
          <w:spacing w:val="13"/>
          <w:kern w:val="0"/>
          <w:sz w:val="28"/>
          <w:szCs w:val="28"/>
        </w:rPr>
        <w:t>实有在职人员8人，其中：公务员及参公人员4人、非公务员1人，退役博士兵2人，临聘人员1人，</w:t>
      </w: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核定编制8名。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 w:cs="宋体"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 w:cs="宋体"/>
          <w:color w:val="000000"/>
          <w:kern w:val="0"/>
          <w:sz w:val="28"/>
          <w:szCs w:val="28"/>
        </w:rPr>
        <w:t>3、主要工作职责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sz w:val="28"/>
          <w:szCs w:val="28"/>
        </w:rPr>
      </w:pPr>
      <w:r>
        <w:rPr>
          <w:rStyle w:val="9"/>
          <w:rFonts w:hint="eastAsia" w:ascii="方正仿宋简体" w:hAnsi="宋体" w:eastAsia="方正仿宋简体"/>
          <w:szCs w:val="28"/>
        </w:rPr>
        <w:t>负责依法行使人力资源和社会保障检查权；负责受理全市用人单位遵守劳动保障法律、法规情况；负责协调劳动保障跨市域执法和重大案件查处工作，维护农民工合法权益。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黑体" w:hAnsi="黑体" w:eastAsia="黑体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b/>
          <w:color w:val="000000"/>
          <w:kern w:val="0"/>
          <w:sz w:val="28"/>
          <w:szCs w:val="28"/>
        </w:rPr>
        <w:t>二、部门整体支出管理及使用情况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/>
          <w:color w:val="000000"/>
          <w:kern w:val="0"/>
          <w:sz w:val="28"/>
          <w:szCs w:val="28"/>
        </w:rPr>
        <w:t>（一）基本支出的管理和使用情况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b/>
          <w:color w:val="000000"/>
          <w:kern w:val="0"/>
          <w:sz w:val="28"/>
          <w:szCs w:val="28"/>
        </w:rPr>
        <w:t>1、基本支出的主要用途及资金管理情况：</w:t>
      </w: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2020年度基本支出规模为61.5万元，主要体现在如下内容：其中工作福利支出54万元，对个人和家庭的补助0.8万元，商品和服务支出6.7万元，。</w:t>
      </w:r>
    </w:p>
    <w:p>
      <w:pPr>
        <w:spacing w:line="600" w:lineRule="exact"/>
        <w:ind w:firstLine="562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b/>
          <w:color w:val="000000"/>
          <w:kern w:val="0"/>
          <w:sz w:val="28"/>
          <w:szCs w:val="28"/>
        </w:rPr>
        <w:t>2、年初总预算收支情况：</w:t>
      </w: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2020 年度收入总计145.2万元，其中财政拨款收入145.2万。2020 年度支出总计141.8万元。其中工资福利支出56.8万元，对个人和家庭补助支出2万元，商品服务支出69万元，资本性支出14万元。业务类工作专项支出80.3万元。业务类工作专项主要用于：监察综合执法22万元，“两网化”联运管理建设专项11.8万元，农民工工资清账工作10万元，执法着装专项9.6万元，执法大厅建设24.9万元，监察法规宣传2万元。</w:t>
      </w: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</w:p>
    <w:p>
      <w:pPr>
        <w:spacing w:line="600" w:lineRule="exact"/>
        <w:ind w:firstLine="562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b/>
          <w:color w:val="000000"/>
          <w:kern w:val="0"/>
          <w:sz w:val="28"/>
          <w:szCs w:val="28"/>
        </w:rPr>
        <w:t>3、本年财政拨款预算追加情况</w:t>
      </w: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（单位：万元）</w:t>
      </w:r>
    </w:p>
    <w:tbl>
      <w:tblPr>
        <w:tblStyle w:val="5"/>
        <w:tblpPr w:leftFromText="180" w:rightFromText="180" w:vertAnchor="text" w:horzAnchor="margin" w:tblpY="158"/>
        <w:tblW w:w="856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75"/>
        <w:gridCol w:w="1416"/>
        <w:gridCol w:w="1418"/>
        <w:gridCol w:w="1296"/>
        <w:gridCol w:w="22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2175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收入</w:t>
            </w:r>
          </w:p>
        </w:tc>
        <w:tc>
          <w:tcPr>
            <w:tcW w:w="1416" w:type="dxa"/>
            <w:vAlign w:val="bottom"/>
          </w:tcPr>
          <w:p>
            <w:pPr>
              <w:spacing w:line="600" w:lineRule="exact"/>
              <w:ind w:left="240" w:hanging="240" w:hangingChars="100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2020年初预算</w:t>
            </w:r>
          </w:p>
        </w:tc>
        <w:tc>
          <w:tcPr>
            <w:tcW w:w="1418" w:type="dxa"/>
            <w:vAlign w:val="bottom"/>
          </w:tcPr>
          <w:p>
            <w:pPr>
              <w:spacing w:line="600" w:lineRule="exact"/>
              <w:ind w:left="120" w:hanging="120" w:hangingChars="50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2020实际拨付收入</w:t>
            </w:r>
          </w:p>
        </w:tc>
        <w:tc>
          <w:tcPr>
            <w:tcW w:w="1296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变动情况</w:t>
            </w:r>
          </w:p>
        </w:tc>
        <w:tc>
          <w:tcPr>
            <w:tcW w:w="2263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8" w:hRule="atLeast"/>
        </w:trPr>
        <w:tc>
          <w:tcPr>
            <w:tcW w:w="2175" w:type="dxa"/>
            <w:vAlign w:val="center"/>
          </w:tcPr>
          <w:p>
            <w:pPr>
              <w:spacing w:line="600" w:lineRule="exact"/>
              <w:ind w:left="600" w:hanging="600" w:hangingChars="250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一般公共预算财政拨款收入</w:t>
            </w:r>
          </w:p>
        </w:tc>
        <w:tc>
          <w:tcPr>
            <w:tcW w:w="1416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87.7</w:t>
            </w: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145.2</w:t>
            </w:r>
          </w:p>
        </w:tc>
        <w:tc>
          <w:tcPr>
            <w:tcW w:w="1296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57.5</w:t>
            </w:r>
          </w:p>
        </w:tc>
        <w:tc>
          <w:tcPr>
            <w:tcW w:w="2263" w:type="dxa"/>
            <w:vAlign w:val="center"/>
          </w:tcPr>
          <w:p>
            <w:pPr>
              <w:spacing w:line="600" w:lineRule="exact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执法着装9.6万元、执法大厅建设24.9万元、“两网化”建设19.9万元、车补等3万元。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2175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合计</w:t>
            </w:r>
          </w:p>
        </w:tc>
        <w:tc>
          <w:tcPr>
            <w:tcW w:w="1416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87.7</w:t>
            </w:r>
          </w:p>
        </w:tc>
        <w:tc>
          <w:tcPr>
            <w:tcW w:w="1418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145.2</w:t>
            </w:r>
          </w:p>
        </w:tc>
        <w:tc>
          <w:tcPr>
            <w:tcW w:w="1296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57.5</w:t>
            </w:r>
          </w:p>
        </w:tc>
        <w:tc>
          <w:tcPr>
            <w:tcW w:w="2263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</w:tbl>
    <w:p>
      <w:pPr>
        <w:spacing w:line="600" w:lineRule="exact"/>
        <w:ind w:firstLine="1120" w:firstLineChars="4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</w:p>
    <w:p>
      <w:pPr>
        <w:spacing w:line="600" w:lineRule="exact"/>
        <w:ind w:firstLine="1124" w:firstLineChars="4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b/>
          <w:color w:val="000000"/>
          <w:kern w:val="0"/>
          <w:sz w:val="28"/>
          <w:szCs w:val="28"/>
        </w:rPr>
        <w:t>可用财政拨款预算指标情况</w:t>
      </w: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（单位：万元）</w:t>
      </w:r>
    </w:p>
    <w:tbl>
      <w:tblPr>
        <w:tblStyle w:val="5"/>
        <w:tblpPr w:leftFromText="180" w:rightFromText="180" w:vertAnchor="text" w:horzAnchor="margin" w:tblpXSpec="center" w:tblpY="314"/>
        <w:tblW w:w="8568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48"/>
        <w:gridCol w:w="2520"/>
        <w:gridCol w:w="27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  <w:jc w:val="center"/>
        </w:trPr>
        <w:tc>
          <w:tcPr>
            <w:tcW w:w="334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2020年拨款预算指标</w:t>
            </w:r>
          </w:p>
        </w:tc>
        <w:tc>
          <w:tcPr>
            <w:tcW w:w="2520" w:type="dxa"/>
            <w:vAlign w:val="center"/>
          </w:tcPr>
          <w:p>
            <w:pPr>
              <w:spacing w:line="600" w:lineRule="exact"/>
              <w:ind w:left="240" w:hanging="240" w:hangingChars="10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2020使用拨款预算指标</w:t>
            </w:r>
          </w:p>
        </w:tc>
        <w:tc>
          <w:tcPr>
            <w:tcW w:w="2700" w:type="dxa"/>
            <w:vAlign w:val="center"/>
          </w:tcPr>
          <w:p>
            <w:pPr>
              <w:spacing w:line="600" w:lineRule="exact"/>
              <w:ind w:left="120" w:hanging="120" w:hangingChars="5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2020结余预算指标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  <w:jc w:val="center"/>
        </w:trPr>
        <w:tc>
          <w:tcPr>
            <w:tcW w:w="3348" w:type="dxa"/>
            <w:vAlign w:val="center"/>
          </w:tcPr>
          <w:p>
            <w:pPr>
              <w:spacing w:line="600" w:lineRule="exact"/>
              <w:ind w:left="600" w:hanging="600" w:hangingChars="25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145.2</w:t>
            </w:r>
          </w:p>
        </w:tc>
        <w:tc>
          <w:tcPr>
            <w:tcW w:w="252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137.2</w:t>
            </w:r>
          </w:p>
        </w:tc>
        <w:tc>
          <w:tcPr>
            <w:tcW w:w="270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</w:t>
            </w:r>
          </w:p>
        </w:tc>
      </w:tr>
    </w:tbl>
    <w:p>
      <w:pPr>
        <w:spacing w:line="600" w:lineRule="exact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</w:p>
    <w:p>
      <w:pPr>
        <w:spacing w:line="600" w:lineRule="exact"/>
        <w:ind w:firstLine="562" w:firstLineChars="200"/>
        <w:jc w:val="left"/>
        <w:rPr>
          <w:rFonts w:hint="eastAsia" w:ascii="方正仿宋简体" w:hAnsi="宋体" w:eastAsia="方正仿宋简体"/>
          <w:b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b/>
          <w:color w:val="000000"/>
          <w:kern w:val="0"/>
          <w:sz w:val="28"/>
          <w:szCs w:val="28"/>
        </w:rPr>
        <w:t>4、年度预算收入决算情况</w:t>
      </w:r>
    </w:p>
    <w:tbl>
      <w:tblPr>
        <w:tblStyle w:val="5"/>
        <w:tblpPr w:leftFromText="180" w:rightFromText="180" w:vertAnchor="text" w:horzAnchor="margin" w:tblpY="314"/>
        <w:tblW w:w="857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32"/>
        <w:gridCol w:w="1696"/>
        <w:gridCol w:w="1440"/>
        <w:gridCol w:w="1260"/>
        <w:gridCol w:w="23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832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收入</w:t>
            </w:r>
          </w:p>
        </w:tc>
        <w:tc>
          <w:tcPr>
            <w:tcW w:w="1696" w:type="dxa"/>
            <w:vAlign w:val="center"/>
          </w:tcPr>
          <w:p>
            <w:pPr>
              <w:spacing w:line="600" w:lineRule="exact"/>
              <w:ind w:left="240" w:hanging="240" w:hangingChars="10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2020年初预算</w:t>
            </w:r>
          </w:p>
        </w:tc>
        <w:tc>
          <w:tcPr>
            <w:tcW w:w="1440" w:type="dxa"/>
            <w:vAlign w:val="center"/>
          </w:tcPr>
          <w:p>
            <w:pPr>
              <w:spacing w:line="600" w:lineRule="exact"/>
              <w:ind w:left="120" w:hanging="120" w:hangingChars="5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2020决算</w:t>
            </w: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变动情况</w:t>
            </w:r>
          </w:p>
        </w:tc>
        <w:tc>
          <w:tcPr>
            <w:tcW w:w="235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atLeast"/>
        </w:trPr>
        <w:tc>
          <w:tcPr>
            <w:tcW w:w="1832" w:type="dxa"/>
            <w:vAlign w:val="center"/>
          </w:tcPr>
          <w:p>
            <w:pPr>
              <w:spacing w:line="600" w:lineRule="exact"/>
              <w:ind w:left="600" w:hanging="600" w:hangingChars="250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一般公共预算财政拨款收入</w:t>
            </w:r>
          </w:p>
        </w:tc>
        <w:tc>
          <w:tcPr>
            <w:tcW w:w="1696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87.7</w:t>
            </w:r>
          </w:p>
        </w:tc>
        <w:tc>
          <w:tcPr>
            <w:tcW w:w="144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145.2</w:t>
            </w: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57.5</w:t>
            </w:r>
          </w:p>
        </w:tc>
        <w:tc>
          <w:tcPr>
            <w:tcW w:w="235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执法着装9.6万元、执法大厅建设24.9万元、“两网化”建设19.8万元、车补2.5万元等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4" w:hRule="atLeast"/>
        </w:trPr>
        <w:tc>
          <w:tcPr>
            <w:tcW w:w="1832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合计</w:t>
            </w:r>
          </w:p>
        </w:tc>
        <w:tc>
          <w:tcPr>
            <w:tcW w:w="1696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87.7</w:t>
            </w:r>
          </w:p>
        </w:tc>
        <w:tc>
          <w:tcPr>
            <w:tcW w:w="144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145.2</w:t>
            </w:r>
          </w:p>
        </w:tc>
        <w:tc>
          <w:tcPr>
            <w:tcW w:w="126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57.5</w:t>
            </w:r>
          </w:p>
        </w:tc>
        <w:tc>
          <w:tcPr>
            <w:tcW w:w="2350" w:type="dxa"/>
            <w:vAlign w:val="center"/>
          </w:tcPr>
          <w:p>
            <w:pPr>
              <w:spacing w:line="600" w:lineRule="exact"/>
              <w:ind w:firstLine="480"/>
              <w:jc w:val="center"/>
              <w:rPr>
                <w:rFonts w:hint="eastAsia" w:ascii="方正仿宋简体" w:hAnsi="宋体" w:eastAsia="方正仿宋简体"/>
                <w:sz w:val="24"/>
              </w:rPr>
            </w:pPr>
          </w:p>
        </w:tc>
      </w:tr>
    </w:tbl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</w:p>
    <w:p>
      <w:pPr>
        <w:spacing w:line="600" w:lineRule="exact"/>
        <w:ind w:firstLine="562" w:firstLineChars="200"/>
        <w:jc w:val="left"/>
        <w:rPr>
          <w:rFonts w:hint="eastAsia" w:ascii="方正仿宋简体" w:hAnsi="宋体" w:eastAsia="方正仿宋简体"/>
          <w:b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b/>
          <w:color w:val="000000"/>
          <w:kern w:val="0"/>
          <w:sz w:val="28"/>
          <w:szCs w:val="28"/>
        </w:rPr>
        <w:t>5、年度预算支出决算及结余情况</w:t>
      </w:r>
    </w:p>
    <w:tbl>
      <w:tblPr>
        <w:tblStyle w:val="5"/>
        <w:tblW w:w="857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58"/>
        <w:gridCol w:w="2858"/>
        <w:gridCol w:w="285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支出</w:t>
            </w:r>
          </w:p>
        </w:tc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2020年决算</w:t>
            </w:r>
          </w:p>
        </w:tc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2020年结余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4" w:hRule="atLeast"/>
        </w:trPr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一般公共预算财政拨款支出</w:t>
            </w:r>
          </w:p>
        </w:tc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137.2</w:t>
            </w:r>
          </w:p>
        </w:tc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1" w:hRule="atLeast"/>
        </w:trPr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合计</w:t>
            </w:r>
          </w:p>
        </w:tc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137.2</w:t>
            </w:r>
          </w:p>
        </w:tc>
        <w:tc>
          <w:tcPr>
            <w:tcW w:w="285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</w:t>
            </w:r>
          </w:p>
        </w:tc>
      </w:tr>
    </w:tbl>
    <w:p>
      <w:pPr>
        <w:spacing w:line="600" w:lineRule="exact"/>
        <w:ind w:firstLine="562" w:firstLineChars="200"/>
        <w:jc w:val="left"/>
        <w:rPr>
          <w:rFonts w:hint="eastAsia" w:ascii="方正仿宋简体" w:hAnsi="宋体" w:eastAsia="方正仿宋简体"/>
          <w:b/>
          <w:sz w:val="28"/>
          <w:szCs w:val="28"/>
        </w:rPr>
      </w:pPr>
      <w:r>
        <w:rPr>
          <w:rFonts w:hint="eastAsia" w:ascii="方正仿宋简体" w:hAnsi="宋体" w:eastAsia="方正仿宋简体"/>
          <w:b/>
          <w:sz w:val="28"/>
          <w:szCs w:val="28"/>
        </w:rPr>
        <w:t>6、本年“三公经费”预算情况</w:t>
      </w:r>
    </w:p>
    <w:p>
      <w:pPr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sz w:val="28"/>
          <w:szCs w:val="28"/>
        </w:rPr>
      </w:pPr>
      <w:r>
        <w:rPr>
          <w:rFonts w:hint="eastAsia" w:ascii="方正仿宋简体" w:hAnsi="宋体" w:eastAsia="方正仿宋简体"/>
          <w:sz w:val="28"/>
          <w:szCs w:val="28"/>
        </w:rPr>
        <w:t>2020年“三公”经费预算为0.5万元，其中：公务接待费0.5万元；公务用车费0万元，其中公务用车购置费0万元（共购买公务用车0台），公务用车运行维护费0万元（公务用车保有量0台）；因公出国(境)费0万元（因公出国境团组数0个，0人次）。</w:t>
      </w:r>
    </w:p>
    <w:p>
      <w:pPr>
        <w:spacing w:line="600" w:lineRule="exact"/>
        <w:ind w:firstLine="562" w:firstLineChars="200"/>
        <w:jc w:val="left"/>
        <w:rPr>
          <w:rFonts w:hint="eastAsia" w:ascii="方正仿宋简体" w:hAnsi="宋体" w:eastAsia="方正仿宋简体"/>
          <w:sz w:val="28"/>
          <w:szCs w:val="28"/>
        </w:rPr>
      </w:pPr>
      <w:r>
        <w:rPr>
          <w:rFonts w:hint="eastAsia" w:ascii="方正仿宋简体" w:hAnsi="宋体" w:eastAsia="方正仿宋简体"/>
          <w:b/>
          <w:sz w:val="28"/>
          <w:szCs w:val="28"/>
        </w:rPr>
        <w:t>7、“三公经费”预算执行情况。</w:t>
      </w:r>
      <w:r>
        <w:rPr>
          <w:rFonts w:hint="eastAsia" w:ascii="方正仿宋简体" w:hAnsi="宋体" w:eastAsia="方正仿宋简体"/>
          <w:sz w:val="28"/>
          <w:szCs w:val="28"/>
        </w:rPr>
        <w:t>2020年“三公”经费使用3.5万元（其中：基本支出公务接待费0.2万元，项目支出招商引资公务接待费3.3万元）；公务用车费0万元，其中公务用车购置费0万元（共购买公务用车0台），公务用车运行维护费0万元（公务用车保有量0台）；因公出国(境)费0万元（因公出国境团组数0个，0人次）。预算执行超标原因为2020年预算时未将招商引资任务下达我局，我局未将招商引资工作列入2020年度预算内容。我单位进一步贯彻落实中央“八项规定”，坚持勤俭节约，反对铺张浪费，按照市委、市政府厉行节约的相关要求，严格控制了“三公”经费支出。</w:t>
      </w:r>
    </w:p>
    <w:p>
      <w:pPr>
        <w:spacing w:line="600" w:lineRule="exact"/>
        <w:ind w:firstLine="562" w:firstLineChars="200"/>
        <w:jc w:val="left"/>
        <w:rPr>
          <w:rFonts w:hint="eastAsia" w:ascii="方正仿宋简体" w:hAnsi="宋体" w:eastAsia="方正仿宋简体"/>
          <w:sz w:val="28"/>
          <w:szCs w:val="28"/>
        </w:rPr>
      </w:pPr>
      <w:r>
        <w:rPr>
          <w:rFonts w:hint="eastAsia" w:ascii="方正仿宋简体" w:hAnsi="宋体" w:eastAsia="方正仿宋简体"/>
          <w:b/>
          <w:sz w:val="28"/>
          <w:szCs w:val="28"/>
        </w:rPr>
        <w:t>8、与上年比较“三公经费“控制情况。</w:t>
      </w:r>
      <w:r>
        <w:rPr>
          <w:rFonts w:hint="eastAsia" w:ascii="方正仿宋简体" w:hAnsi="宋体" w:eastAsia="方正仿宋简体"/>
          <w:sz w:val="28"/>
          <w:szCs w:val="28"/>
        </w:rPr>
        <w:t>劳动监察局为2020年预算独立单位，无上年比较数据。</w:t>
      </w:r>
    </w:p>
    <w:p>
      <w:pPr>
        <w:spacing w:line="600" w:lineRule="exact"/>
        <w:ind w:firstLine="560" w:firstLineChars="200"/>
        <w:jc w:val="left"/>
        <w:rPr>
          <w:rFonts w:hint="eastAsia" w:ascii="方正楷体简体" w:hAnsi="宋体" w:eastAsia="方正楷体简体"/>
          <w:sz w:val="28"/>
          <w:szCs w:val="28"/>
        </w:rPr>
      </w:pPr>
      <w:r>
        <w:rPr>
          <w:rFonts w:hint="eastAsia" w:ascii="方正楷体简体" w:hAnsi="宋体" w:eastAsia="方正楷体简体"/>
          <w:sz w:val="28"/>
          <w:szCs w:val="28"/>
        </w:rPr>
        <w:t>（二）专项支出的管理和使用情况</w:t>
      </w:r>
    </w:p>
    <w:p>
      <w:pPr>
        <w:spacing w:line="600" w:lineRule="exact"/>
        <w:ind w:firstLine="562" w:firstLineChars="200"/>
        <w:jc w:val="left"/>
        <w:rPr>
          <w:rFonts w:hint="eastAsia" w:ascii="方正仿宋简体" w:hAnsi="宋体" w:eastAsia="方正仿宋简体"/>
          <w:sz w:val="28"/>
          <w:szCs w:val="28"/>
        </w:rPr>
      </w:pPr>
      <w:r>
        <w:rPr>
          <w:rFonts w:hint="eastAsia" w:ascii="方正仿宋简体" w:hAnsi="宋体" w:eastAsia="方正仿宋简体"/>
          <w:b/>
          <w:sz w:val="28"/>
          <w:szCs w:val="28"/>
        </w:rPr>
        <w:t>1、专项资金安排落实，总投入等情况分析</w:t>
      </w: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（单位：万元）</w:t>
      </w:r>
    </w:p>
    <w:tbl>
      <w:tblPr>
        <w:tblStyle w:val="5"/>
        <w:tblW w:w="821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74"/>
        <w:gridCol w:w="2163"/>
        <w:gridCol w:w="27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项目名称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专项资金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实际到位资金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监察综合执法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18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监察法规宣传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农民工工资清欠工作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10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执法着装专项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9.6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9.6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执法大厅建设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24.9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24.9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“两网化”联动管理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19.94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19.94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3274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合计</w:t>
            </w:r>
          </w:p>
        </w:tc>
        <w:tc>
          <w:tcPr>
            <w:tcW w:w="2163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84.44</w:t>
            </w:r>
          </w:p>
        </w:tc>
        <w:tc>
          <w:tcPr>
            <w:tcW w:w="277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84.44</w:t>
            </w:r>
          </w:p>
        </w:tc>
      </w:tr>
    </w:tbl>
    <w:p>
      <w:pPr>
        <w:spacing w:line="600" w:lineRule="exact"/>
        <w:ind w:firstLine="413" w:firstLineChars="147"/>
        <w:rPr>
          <w:rFonts w:hint="eastAsia" w:ascii="方正仿宋简体" w:hAnsi="宋体" w:eastAsia="方正仿宋简体" w:cs="宋体"/>
          <w:b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b/>
          <w:color w:val="000000"/>
          <w:kern w:val="0"/>
          <w:sz w:val="28"/>
          <w:szCs w:val="28"/>
        </w:rPr>
        <w:t>2、专项资金实际使用情况分析</w:t>
      </w:r>
    </w:p>
    <w:p>
      <w:pPr>
        <w:spacing w:line="600" w:lineRule="exact"/>
        <w:ind w:firstLine="413" w:firstLineChars="147"/>
        <w:rPr>
          <w:rFonts w:hint="eastAsia" w:ascii="方正仿宋简体" w:hAnsi="宋体" w:eastAsia="方正仿宋简体" w:cs="宋体"/>
          <w:b/>
          <w:color w:val="000000"/>
          <w:kern w:val="0"/>
          <w:sz w:val="28"/>
          <w:szCs w:val="28"/>
        </w:rPr>
      </w:pPr>
    </w:p>
    <w:tbl>
      <w:tblPr>
        <w:tblStyle w:val="5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39"/>
        <w:gridCol w:w="1738"/>
        <w:gridCol w:w="2190"/>
        <w:gridCol w:w="20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项目名称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专项资金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资金使用情况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b/>
                <w:sz w:val="24"/>
              </w:rPr>
            </w:pPr>
            <w:r>
              <w:rPr>
                <w:rFonts w:hint="eastAsia" w:ascii="方正仿宋简体" w:hAnsi="宋体" w:eastAsia="方正仿宋简体"/>
                <w:b/>
                <w:sz w:val="24"/>
              </w:rPr>
              <w:t>资金结余情况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监察综合执法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18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18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监察法规宣传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农民工工资清欠工作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10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10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执法着装专项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9.6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9.6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执法大厅建设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24.9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24.9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“两网化”联动管理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19.9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11.9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</w:trPr>
        <w:tc>
          <w:tcPr>
            <w:tcW w:w="2539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合计</w:t>
            </w:r>
          </w:p>
        </w:tc>
        <w:tc>
          <w:tcPr>
            <w:tcW w:w="1738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84.4</w:t>
            </w:r>
          </w:p>
        </w:tc>
        <w:tc>
          <w:tcPr>
            <w:tcW w:w="2190" w:type="dxa"/>
            <w:vAlign w:val="center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76.4</w:t>
            </w:r>
          </w:p>
        </w:tc>
        <w:tc>
          <w:tcPr>
            <w:tcW w:w="2055" w:type="dxa"/>
          </w:tcPr>
          <w:p>
            <w:pPr>
              <w:spacing w:line="600" w:lineRule="exact"/>
              <w:jc w:val="center"/>
              <w:rPr>
                <w:rFonts w:hint="eastAsia" w:ascii="方正仿宋简体" w:hAnsi="宋体" w:eastAsia="方正仿宋简体"/>
                <w:sz w:val="24"/>
              </w:rPr>
            </w:pPr>
            <w:r>
              <w:rPr>
                <w:rFonts w:hint="eastAsia" w:ascii="方正仿宋简体" w:hAnsi="宋体" w:eastAsia="方正仿宋简体"/>
                <w:sz w:val="24"/>
              </w:rPr>
              <w:t>8</w:t>
            </w:r>
          </w:p>
        </w:tc>
      </w:tr>
    </w:tbl>
    <w:p>
      <w:pPr>
        <w:spacing w:line="600" w:lineRule="exact"/>
        <w:ind w:firstLine="413" w:firstLineChars="147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b/>
          <w:color w:val="000000"/>
          <w:kern w:val="0"/>
          <w:sz w:val="28"/>
          <w:szCs w:val="28"/>
        </w:rPr>
        <w:t>3、专项资金管理情况分析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1、2020年我局进行执法大厅和“两网化”联动管理建设，夯实劳动保障监察工作的基础。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2、按省厅要求进行执法着装，加强劳动保障监察队伍建设。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3、大力宣传劳动法律法规，印发宣传单、各类政策资料，开展宣传普及工作，开创良好工作局面。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/>
          <w:color w:val="000000"/>
          <w:kern w:val="0"/>
          <w:sz w:val="28"/>
          <w:szCs w:val="28"/>
        </w:rPr>
        <w:t>4、加强综合执法和专项执法工作。一是开展农民工工资清欠专项行动；二是进行日常综合执法行动。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  <w:t>三、部门专项组织实施情况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 w:cs="宋体"/>
          <w:b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 w:cs="宋体"/>
          <w:b/>
          <w:color w:val="000000"/>
          <w:kern w:val="0"/>
          <w:sz w:val="28"/>
          <w:szCs w:val="28"/>
        </w:rPr>
        <w:t>（一）专项组织情况分析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 w:cs="宋体"/>
          <w:b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通过财政统一预算方式组织专项资金。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 w:cs="宋体"/>
          <w:b/>
          <w:color w:val="000000"/>
          <w:kern w:val="0"/>
          <w:sz w:val="28"/>
          <w:szCs w:val="28"/>
        </w:rPr>
      </w:pP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/>
          <w:color w:val="000000"/>
          <w:kern w:val="0"/>
          <w:sz w:val="28"/>
          <w:szCs w:val="28"/>
        </w:rPr>
      </w:pPr>
      <w:r>
        <w:rPr>
          <w:rFonts w:hint="eastAsia" w:ascii="方正楷体简体" w:hAnsi="宋体" w:eastAsia="方正楷体简体" w:cs="宋体"/>
          <w:b/>
          <w:color w:val="000000"/>
          <w:kern w:val="0"/>
          <w:sz w:val="28"/>
          <w:szCs w:val="28"/>
        </w:rPr>
        <w:t>（二）专项资金管理情况分析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专项总体评价：专项设置合理、规范管理到位、项目完成良好、运行保障有力、社会反响好，专项目标任务达成。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  <w:t>四、存在的问题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单位财务人员缺乏。</w:t>
      </w:r>
    </w:p>
    <w:p>
      <w:pPr>
        <w:widowControl/>
        <w:shd w:val="clear" w:color="auto" w:fill="FFFFFF"/>
        <w:spacing w:line="600" w:lineRule="exact"/>
        <w:ind w:firstLine="562" w:firstLineChars="200"/>
        <w:jc w:val="left"/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</w:pPr>
      <w:r>
        <w:rPr>
          <w:rFonts w:hint="eastAsia" w:ascii="黑体" w:hAnsi="黑体" w:eastAsia="黑体"/>
          <w:b/>
          <w:color w:val="000000"/>
          <w:kern w:val="0"/>
          <w:sz w:val="28"/>
          <w:szCs w:val="28"/>
        </w:rPr>
        <w:t>五、</w:t>
      </w:r>
      <w:r>
        <w:rPr>
          <w:rFonts w:hint="eastAsia" w:ascii="黑体" w:hAnsi="黑体" w:eastAsia="黑体" w:cs="宋体"/>
          <w:b/>
          <w:color w:val="000000"/>
          <w:kern w:val="0"/>
          <w:sz w:val="28"/>
          <w:szCs w:val="28"/>
        </w:rPr>
        <w:t xml:space="preserve">改进措施及有关建议 </w:t>
      </w:r>
    </w:p>
    <w:p>
      <w:pPr>
        <w:widowControl/>
        <w:shd w:val="clear" w:color="auto" w:fill="FFFFFF"/>
        <w:spacing w:line="600" w:lineRule="exact"/>
        <w:ind w:firstLine="560" w:firstLineChars="200"/>
        <w:jc w:val="left"/>
        <w:rPr>
          <w:rFonts w:hint="eastAsia" w:ascii="方正楷体简体" w:hAnsi="宋体" w:eastAsia="方正楷体简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增加财务人员数量，提高财务人员学习能力，优化财务人员知识结构。</w:t>
      </w:r>
    </w:p>
    <w:p>
      <w:pPr>
        <w:spacing w:line="600" w:lineRule="exact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</w:p>
    <w:p>
      <w:pPr>
        <w:spacing w:line="600" w:lineRule="exact"/>
        <w:ind w:firstLine="570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</w:p>
    <w:p>
      <w:pPr>
        <w:spacing w:line="600" w:lineRule="exact"/>
        <w:ind w:firstLine="4345" w:firstLineChars="1552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沅江市劳动监察局</w:t>
      </w:r>
    </w:p>
    <w:p>
      <w:pPr>
        <w:spacing w:line="600" w:lineRule="exact"/>
        <w:ind w:firstLine="4345" w:firstLineChars="1552"/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</w:pPr>
      <w:r>
        <w:rPr>
          <w:rFonts w:hint="eastAsia" w:ascii="方正仿宋简体" w:hAnsi="宋体" w:eastAsia="方正仿宋简体" w:cs="宋体"/>
          <w:color w:val="000000"/>
          <w:kern w:val="0"/>
          <w:sz w:val="28"/>
          <w:szCs w:val="28"/>
        </w:rPr>
        <w:t>二0二一年八月十日</w:t>
      </w:r>
    </w:p>
    <w:p>
      <w:pPr>
        <w:rPr>
          <w:rFonts w:hint="eastAsia" w:ascii="方正仿宋简体" w:hAnsi="宋体" w:eastAsia="方正仿宋简体"/>
          <w:sz w:val="28"/>
          <w:szCs w:val="28"/>
        </w:rPr>
      </w:pPr>
    </w:p>
    <w:p>
      <w:pPr>
        <w:widowControl/>
        <w:shd w:val="clear" w:color="auto" w:fill="FFFFFF"/>
        <w:spacing w:before="120" w:line="432" w:lineRule="atLeast"/>
        <w:jc w:val="center"/>
        <w:rPr>
          <w:rFonts w:hint="eastAsia" w:ascii="仿宋" w:hAnsi="仿宋" w:eastAsia="仿宋" w:cs="仿宋"/>
          <w:b/>
          <w:bCs/>
          <w:kern w:val="0"/>
          <w:sz w:val="32"/>
          <w:szCs w:val="32"/>
          <w:shd w:val="clear" w:color="auto" w:fill="FFFFFF"/>
          <w:lang w:bidi="ar"/>
        </w:rPr>
      </w:pPr>
    </w:p>
    <w:p>
      <w:pPr>
        <w:widowControl/>
        <w:shd w:val="clear" w:color="auto" w:fill="FFFFFF"/>
        <w:spacing w:before="120" w:line="432" w:lineRule="atLeast"/>
        <w:jc w:val="left"/>
        <w:rPr>
          <w:rFonts w:ascii="仿宋" w:hAnsi="仿宋" w:eastAsia="仿宋" w:cs="仿宋"/>
          <w:kern w:val="0"/>
          <w:sz w:val="32"/>
          <w:szCs w:val="32"/>
          <w:shd w:val="clear" w:color="auto" w:fill="FFFFFF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244C2"/>
    <w:rsid w:val="002E19D2"/>
    <w:rsid w:val="0089338F"/>
    <w:rsid w:val="00A6533D"/>
    <w:rsid w:val="00B244C2"/>
    <w:rsid w:val="00BB7EF0"/>
    <w:rsid w:val="06E547A0"/>
    <w:rsid w:val="0D002E1D"/>
    <w:rsid w:val="15BB37EC"/>
    <w:rsid w:val="44BA5501"/>
    <w:rsid w:val="7EED59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uiPriority w:val="0"/>
    <w:rPr>
      <w:rFonts w:ascii="Calibri" w:hAnsi="Calibri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7">
    <w:name w:val="页眉 字符"/>
    <w:basedOn w:val="6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字符"/>
    <w:basedOn w:val="6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font71"/>
    <w:basedOn w:val="6"/>
    <w:uiPriority w:val="0"/>
    <w:rPr>
      <w:rFonts w:hint="default" w:ascii="Times New Roman" w:hAnsi="Times New Roman" w:eastAsia="楷体_GB2312" w:cs="Times New Roman"/>
      <w:sz w:val="28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337</Words>
  <Characters>1926</Characters>
  <Lines>16</Lines>
  <Paragraphs>4</Paragraphs>
  <TotalTime>11</TotalTime>
  <ScaleCrop>false</ScaleCrop>
  <LinksUpToDate>false</LinksUpToDate>
  <CharactersWithSpaces>2259</CharactersWithSpaces>
  <Application>WPS Office_11.8.2.8721_F1E327BC-269C-435d-A152-05C5408002CA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2022-09-01T03:35:00Z</dcterms:created>
  <dc:creator>tangh</dc:creator>
  <cp:lastModifiedBy>系统管理员 null</cp:lastModifiedBy>
  <dcterms:modified xsi:type="dcterms:W3CDTF">2022-09-02T05:14:25Z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2052-11.8.2.8721</vt:lpwstr>
  </property>
</Properties>
</file>