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atLeast"/>
        <w:jc w:val="center"/>
        <w:rPr>
          <w:rFonts w:ascii="宋体" w:hAnsi="宋体" w:cs="宋体"/>
          <w:b/>
          <w:bCs/>
          <w:color w:val="333333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宋体" w:eastAsia="方正小标宋_GBK" w:cs="宋体"/>
          <w:b/>
          <w:bCs/>
          <w:color w:val="333333"/>
          <w:kern w:val="0"/>
          <w:sz w:val="44"/>
          <w:szCs w:val="44"/>
        </w:rPr>
        <w:t>2020年度整体</w:t>
      </w:r>
      <w:r>
        <w:rPr>
          <w:b/>
          <w:bCs/>
          <w:color w:val="333333"/>
          <w:kern w:val="0"/>
          <w:sz w:val="44"/>
          <w:szCs w:val="44"/>
        </w:rPr>
        <w:t>支出绩效</w:t>
      </w:r>
      <w:r>
        <w:rPr>
          <w:rFonts w:hint="eastAsia"/>
          <w:b/>
          <w:bCs/>
          <w:color w:val="333333"/>
          <w:kern w:val="0"/>
          <w:sz w:val="44"/>
          <w:szCs w:val="44"/>
        </w:rPr>
        <w:t>自</w:t>
      </w:r>
      <w:r>
        <w:rPr>
          <w:rFonts w:hint="eastAsia" w:ascii="方正小标宋_GBK" w:hAnsi="宋体" w:eastAsia="方正小标宋_GBK" w:cs="宋体"/>
          <w:b/>
          <w:bCs/>
          <w:color w:val="333333"/>
          <w:kern w:val="0"/>
          <w:sz w:val="44"/>
          <w:szCs w:val="44"/>
        </w:rPr>
        <w:t>评</w:t>
      </w:r>
      <w:r>
        <w:rPr>
          <w:b/>
          <w:bCs/>
          <w:color w:val="333333"/>
          <w:kern w:val="0"/>
          <w:sz w:val="44"/>
          <w:szCs w:val="44"/>
        </w:rPr>
        <w:t>报告</w:t>
      </w:r>
    </w:p>
    <w:p>
      <w:pPr>
        <w:widowControl/>
        <w:shd w:val="clear" w:color="auto" w:fill="FFFFFF"/>
        <w:spacing w:line="600" w:lineRule="atLeast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color w:val="333333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color w:val="333333"/>
          <w:kern w:val="0"/>
          <w:sz w:val="32"/>
          <w:szCs w:val="32"/>
        </w:rPr>
        <w:t>一、</w:t>
      </w:r>
      <w:r>
        <w:rPr>
          <w:rFonts w:hint="eastAsia" w:ascii="黑体" w:hAnsi="宋体" w:eastAsia="黑体" w:cs="宋体"/>
          <w:color w:val="333333"/>
          <w:kern w:val="0"/>
          <w:sz w:val="32"/>
          <w:szCs w:val="32"/>
        </w:rPr>
        <w:t>部门</w:t>
      </w:r>
      <w:r>
        <w:rPr>
          <w:color w:val="333333"/>
          <w:kern w:val="0"/>
          <w:sz w:val="32"/>
          <w:szCs w:val="32"/>
        </w:rPr>
        <w:t>概况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根据编委核定，我局内设股室</w:t>
      </w:r>
      <w:r>
        <w:rPr>
          <w:rFonts w:hint="eastAsia" w:ascii="宋体" w:hAnsi="宋体" w:cs="宋体"/>
          <w:color w:val="000000"/>
          <w:kern w:val="0"/>
          <w:sz w:val="32"/>
          <w:szCs w:val="32"/>
          <w:u w:val="single"/>
        </w:rPr>
        <w:t> 7 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个，全部纳入2020年部门预算编制范围.</w:t>
      </w:r>
      <w:r>
        <w:rPr>
          <w:rFonts w:hint="eastAsia" w:ascii="宋体" w:hAnsi="宋体" w:cs="宋体"/>
          <w:color w:val="000000"/>
          <w:sz w:val="32"/>
          <w:szCs w:val="32"/>
          <w:shd w:val="clear" w:color="auto" w:fill="FFFFFF"/>
        </w:rPr>
        <w:t>截止2021年1月（预算编制时间），我局纳入部门预算编制84人。其中：实有在职人员44人，离退休人员 40 人。遗属 6人。</w:t>
      </w:r>
    </w:p>
    <w:p>
      <w:pPr>
        <w:spacing w:line="560" w:lineRule="exact"/>
        <w:ind w:firstLine="321" w:firstLineChars="100"/>
        <w:rPr>
          <w:rFonts w:hint="eastAsia" w:ascii="楷体_GB2312" w:hAnsi="宋体" w:eastAsia="楷体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/>
          <w:bCs/>
          <w:color w:val="000000"/>
          <w:kern w:val="0"/>
          <w:sz w:val="32"/>
          <w:szCs w:val="32"/>
        </w:rPr>
        <w:t>二、主要职责：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（一）贯彻执行关于民政工作的法律法规和方针政策，拟订全市民政事业发展规划和政策并组织实施和监督检查。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（二）依法对全市社会团体、基金会、社会服务机构等社会组织进行登记管理和执法监督。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（三）拟订全市社会救助规划、制度和标准，负责城乡居民低收入家庭认定、最低生活保障、特困人员救助供养、临时救助、生活无着流浪乞讨人员救助工作。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（四）拟订全市城乡基层群众自治建设和社区治理政策，指导城乡社区治理体系和治理能力建设，提出加强和改进城乡基层政权建设的建议，推动基层民主政治建设。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（五）拟订全市行政区划总体规划、地名管理办法并组织实施；组织指导行政区域界线的勘定和管理工作；负责全市法定行政区域界线争议的调查和调处工作；负责地名管理工作。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（六）贯彻实施有关婚姻管理的法规和政策，推进婚俗改革。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（七）贯彻实施殡葬管理政策、拟订服务规范并组织实施，推进殡葬改革。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（八）统筹推进、督促指导、监督管理全市养老服务工作，拟订养老服务体系建设规划、政策、标准并组织实施，承担老年人福利和特殊困难老年人救助工作。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（九）贯彻实施有关残疾人权益保护的法律法规和政策，统筹推进残疾人福利制度建设和康复辅助器具产业发展。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（十）贯彻实施有关儿童福利、孤弃儿童保障、儿童收养、儿童救助保护的政策、标准，健全农村留守儿童关爱服务体系和困境儿童保障制度。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（十一）拟订促进全市慈善事业发展的政策并组织实施，组织、指导社会捐助工作，负责全市福利彩票发行管理工作。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（十二）拟订全市社会工作、志愿服务的政策和标准，会同有关部门推进社会工作人才队伍建设和志愿者队伍建设。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（十三）完成市委、市政府交办的其他任务。</w:t>
      </w:r>
    </w:p>
    <w:p>
      <w:pPr>
        <w:widowControl/>
        <w:spacing w:line="520" w:lineRule="atLeast"/>
        <w:ind w:firstLine="42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十四）职能转变。强化基本民生保障职能，为全市困难群众、孤老孤残孤儿等特殊群体提供基本社会服务，促进资源向薄弱地区、领域、环节倾斜。积极培育社会组织、社会工作者等多元参与主体，推动搭建全市基层社会治理和社区公共服务平台.</w:t>
      </w:r>
    </w:p>
    <w:p>
      <w:pPr>
        <w:widowControl/>
        <w:shd w:val="clear" w:color="auto" w:fill="FFFFFF"/>
        <w:spacing w:line="560" w:lineRule="atLeast"/>
        <w:ind w:firstLine="643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rFonts w:hint="eastAsia" w:ascii="楷体_GB2312" w:hAnsi="宋体" w:eastAsia="楷体_GB2312" w:cs="宋体"/>
          <w:b/>
          <w:bCs/>
          <w:color w:val="000000"/>
          <w:kern w:val="0"/>
          <w:sz w:val="32"/>
          <w:szCs w:val="32"/>
        </w:rPr>
        <w:t>（二）单位整体支出规模、使用方向和主要内容、涉及范围等。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2020年我局预算总收入为</w:t>
      </w:r>
      <w:r>
        <w:rPr>
          <w:rFonts w:hint="eastAsia" w:eastAsia="仿宋_GB2312"/>
          <w:color w:val="333333"/>
          <w:kern w:val="0"/>
          <w:sz w:val="32"/>
          <w:szCs w:val="32"/>
        </w:rPr>
        <w:t>1195.498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万元，其中：年初批复预算总收入为</w:t>
      </w:r>
      <w:r>
        <w:rPr>
          <w:rFonts w:hint="eastAsia" w:eastAsia="仿宋_GB2312"/>
          <w:color w:val="333333"/>
          <w:kern w:val="0"/>
          <w:sz w:val="32"/>
          <w:szCs w:val="32"/>
        </w:rPr>
        <w:t>1195.498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万元、上年结转财政拨款0万元。具体明细如下：</w:t>
      </w:r>
    </w:p>
    <w:tbl>
      <w:tblPr>
        <w:tblStyle w:val="4"/>
        <w:tblW w:w="8080" w:type="dxa"/>
        <w:tblInd w:w="25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70"/>
        <w:gridCol w:w="2410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项目</w:t>
            </w: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金额（万元）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32"/>
                <w:szCs w:val="32"/>
              </w:rPr>
              <w:t>一、年初预算总收入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  <w:r>
              <w:rPr>
                <w:rFonts w:hint="eastAsia" w:eastAsia="仿宋_GB2312"/>
                <w:color w:val="333333"/>
                <w:kern w:val="0"/>
                <w:sz w:val="32"/>
                <w:szCs w:val="32"/>
              </w:rPr>
              <w:t>1195.498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1、工资福利支出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365.938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2、一般商品和服务支出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273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3、专项商品服务支出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416.68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4、对个人和家庭的补助支出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139.88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32"/>
                <w:szCs w:val="32"/>
              </w:rPr>
              <w:t>二、上年结转财政拨款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32"/>
                <w:szCs w:val="32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32"/>
                <w:szCs w:val="32"/>
              </w:rPr>
              <w:t>全年收入总计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6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1195.498</w:t>
            </w:r>
          </w:p>
        </w:tc>
      </w:tr>
    </w:tbl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color w:val="333333"/>
          <w:kern w:val="0"/>
          <w:sz w:val="32"/>
          <w:szCs w:val="32"/>
        </w:rPr>
        <w:t>二、</w:t>
      </w:r>
      <w:r>
        <w:rPr>
          <w:rFonts w:hint="eastAsia" w:ascii="黑体" w:hAnsi="宋体" w:eastAsia="黑体" w:cs="宋体"/>
          <w:color w:val="333333"/>
          <w:kern w:val="0"/>
          <w:sz w:val="32"/>
          <w:szCs w:val="32"/>
        </w:rPr>
        <w:t>部门整体支出</w:t>
      </w:r>
      <w:r>
        <w:rPr>
          <w:color w:val="333333"/>
          <w:kern w:val="0"/>
          <w:sz w:val="32"/>
          <w:szCs w:val="32"/>
        </w:rPr>
        <w:t>使用情况</w:t>
      </w:r>
    </w:p>
    <w:p>
      <w:pPr>
        <w:widowControl/>
        <w:shd w:val="clear" w:color="auto" w:fill="FFFFFF"/>
        <w:spacing w:before="100" w:after="100" w:line="560" w:lineRule="atLeast"/>
        <w:ind w:firstLine="643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32"/>
          <w:szCs w:val="32"/>
        </w:rPr>
        <w:t>（一）基本支出</w:t>
      </w:r>
    </w:p>
    <w:p>
      <w:pPr>
        <w:widowControl/>
        <w:shd w:val="clear" w:color="auto" w:fill="FFFFFF"/>
        <w:spacing w:before="100" w:after="100" w:line="560" w:lineRule="atLeast"/>
        <w:ind w:left="140" w:firstLine="428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2020年单位预算支出1195.498万元，其中：</w:t>
      </w:r>
    </w:p>
    <w:p>
      <w:pPr>
        <w:widowControl/>
        <w:shd w:val="clear" w:color="auto" w:fill="FFFFFF"/>
        <w:spacing w:line="560" w:lineRule="atLeast"/>
        <w:ind w:firstLine="64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1、按支出项目类别分：</w:t>
      </w:r>
    </w:p>
    <w:p>
      <w:pPr>
        <w:widowControl/>
        <w:shd w:val="clear" w:color="auto" w:fill="FFFFFF"/>
        <w:spacing w:line="560" w:lineRule="atLeast"/>
        <w:ind w:firstLine="64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基本支出641.998万元，分别为：人员经费支出365.938万元，公用经费支出273万元。</w:t>
      </w:r>
    </w:p>
    <w:p>
      <w:pPr>
        <w:widowControl/>
        <w:shd w:val="clear" w:color="auto" w:fill="FFFFFF"/>
        <w:spacing w:line="560" w:lineRule="atLeast"/>
        <w:ind w:firstLine="64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项目支出553.5万元。</w:t>
      </w:r>
    </w:p>
    <w:p>
      <w:pPr>
        <w:widowControl/>
        <w:shd w:val="clear" w:color="auto" w:fill="FFFFFF"/>
        <w:spacing w:line="560" w:lineRule="atLeast"/>
        <w:ind w:firstLine="64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2、按支出功能分类股目：</w:t>
      </w:r>
    </w:p>
    <w:p>
      <w:pPr>
        <w:widowControl/>
        <w:shd w:val="clear" w:color="auto" w:fill="FFFFFF"/>
        <w:spacing w:line="560" w:lineRule="atLeast"/>
        <w:ind w:firstLine="64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2080201行政运行897.515万元；</w:t>
      </w:r>
    </w:p>
    <w:p>
      <w:pPr>
        <w:widowControl/>
        <w:shd w:val="clear" w:color="auto" w:fill="FFFFFF"/>
        <w:spacing w:line="560" w:lineRule="atLeast"/>
        <w:ind w:firstLine="64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2080202一般行政事务管理101.60万元</w:t>
      </w:r>
    </w:p>
    <w:p>
      <w:pPr>
        <w:widowControl/>
        <w:shd w:val="clear" w:color="auto" w:fill="FFFFFF"/>
        <w:spacing w:line="560" w:lineRule="atLeast"/>
        <w:ind w:firstLine="64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2080299民政管理事务115.42万元</w:t>
      </w:r>
    </w:p>
    <w:p>
      <w:pPr>
        <w:widowControl/>
        <w:shd w:val="clear" w:color="auto" w:fill="FFFFFF"/>
        <w:spacing w:line="560" w:lineRule="atLeast"/>
        <w:ind w:firstLine="64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2081004殡葬50万元</w:t>
      </w:r>
    </w:p>
    <w:p>
      <w:pPr>
        <w:widowControl/>
        <w:shd w:val="clear" w:color="auto" w:fill="FFFFFF"/>
        <w:spacing w:line="560" w:lineRule="atLeast"/>
        <w:ind w:firstLine="64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2210201住房保障支出30.963万元</w:t>
      </w:r>
    </w:p>
    <w:p>
      <w:pPr>
        <w:widowControl/>
        <w:shd w:val="clear" w:color="auto" w:fill="FFFFFF"/>
        <w:spacing w:line="560" w:lineRule="atLeast"/>
        <w:ind w:firstLine="64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3、按支出经济分类股目：</w:t>
      </w:r>
    </w:p>
    <w:p>
      <w:pPr>
        <w:widowControl/>
        <w:shd w:val="clear" w:color="auto" w:fill="FFFFFF"/>
        <w:spacing w:line="560" w:lineRule="atLeast"/>
        <w:ind w:firstLine="64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工资福利支出365.938万元；</w:t>
      </w:r>
    </w:p>
    <w:p>
      <w:pPr>
        <w:widowControl/>
        <w:shd w:val="clear" w:color="auto" w:fill="FFFFFF"/>
        <w:spacing w:line="560" w:lineRule="atLeast"/>
        <w:ind w:firstLine="64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商品和服务支出273万元；</w:t>
      </w:r>
    </w:p>
    <w:p>
      <w:pPr>
        <w:widowControl/>
        <w:shd w:val="clear" w:color="auto" w:fill="FFFFFF"/>
        <w:spacing w:line="560" w:lineRule="atLeast"/>
        <w:ind w:firstLine="64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对个人和家庭的补助支出3.06万元；</w:t>
      </w:r>
    </w:p>
    <w:p>
      <w:pPr>
        <w:widowControl/>
        <w:shd w:val="clear" w:color="auto" w:fill="FFFFFF"/>
        <w:spacing w:line="560" w:lineRule="atLeast"/>
        <w:ind w:firstLine="64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项目支出553.50万元；</w:t>
      </w:r>
    </w:p>
    <w:p>
      <w:pPr>
        <w:widowControl/>
        <w:shd w:val="clear" w:color="auto" w:fill="FFFFFF"/>
        <w:spacing w:before="100" w:after="100" w:line="560" w:lineRule="atLeast"/>
        <w:ind w:firstLine="570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2020年全年收支预算平衡。</w:t>
      </w:r>
    </w:p>
    <w:p>
      <w:pPr>
        <w:widowControl/>
        <w:shd w:val="clear" w:color="auto" w:fill="FFFFFF"/>
        <w:spacing w:before="100" w:after="100" w:line="560" w:lineRule="atLeast"/>
        <w:ind w:firstLine="472" w:firstLineChars="147"/>
        <w:jc w:val="left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五、其他重要事项</w:t>
      </w:r>
    </w:p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/>
          <w:color w:val="333333"/>
          <w:sz w:val="30"/>
          <w:szCs w:val="30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（一）“三公”经费情况</w:t>
      </w:r>
    </w:p>
    <w:p>
      <w:pPr>
        <w:ind w:firstLine="6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2020年，我局 “三公”经费预算数2万元，其中：公务接待费2万元，分别为公共财政拨款2万元，其他收入0万元；公务用车购置及运行维护费0万元，在其他收入中列支，“三公”经费预算与上年持平。</w:t>
      </w:r>
    </w:p>
    <w:p>
      <w:pPr>
        <w:ind w:firstLine="480" w:firstLineChars="15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（二）政府采购情况</w:t>
      </w:r>
    </w:p>
    <w:p>
      <w:pPr>
        <w:ind w:firstLine="6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2020年，我局安排政府采购预算60万元，主要用于采购等。我局将按照实际需要申请政府采购。</w:t>
      </w:r>
    </w:p>
    <w:p>
      <w:pPr>
        <w:widowControl/>
        <w:shd w:val="clear" w:color="auto" w:fill="FFFFFF"/>
        <w:spacing w:line="524" w:lineRule="atLeast"/>
        <w:ind w:firstLine="48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（三）预算绩效评价情况</w:t>
      </w:r>
    </w:p>
    <w:p>
      <w:pPr>
        <w:widowControl/>
        <w:shd w:val="clear" w:color="auto" w:fill="FFFFFF"/>
        <w:spacing w:line="524" w:lineRule="atLeast"/>
        <w:ind w:firstLine="748" w:firstLineChars="234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2020年度，我局纳入绩效评价的项目12个。</w:t>
      </w:r>
    </w:p>
    <w:p>
      <w:pPr>
        <w:widowControl/>
        <w:shd w:val="clear" w:color="auto" w:fill="FFFFFF"/>
        <w:spacing w:line="600" w:lineRule="atLeast"/>
        <w:ind w:firstLine="210" w:firstLineChars="100"/>
        <w:jc w:val="left"/>
        <w:rPr>
          <w:rFonts w:hint="eastAsia" w:ascii="宋体" w:hAnsi="宋体" w:cs="宋体"/>
          <w:color w:val="333333"/>
          <w:kern w:val="0"/>
          <w:szCs w:val="21"/>
        </w:rPr>
      </w:pP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color w:val="333333"/>
          <w:kern w:val="0"/>
          <w:sz w:val="32"/>
          <w:szCs w:val="32"/>
        </w:rPr>
        <w:t>三、</w:t>
      </w:r>
      <w:r>
        <w:rPr>
          <w:rFonts w:hint="eastAsia" w:ascii="黑体" w:hAnsi="宋体" w:eastAsia="黑体" w:cs="宋体"/>
          <w:color w:val="333333"/>
          <w:kern w:val="0"/>
          <w:sz w:val="32"/>
          <w:szCs w:val="32"/>
        </w:rPr>
        <w:t>部门整体支出管理情况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总的来说，我局财务管理较为严格，建立了《机关财务管理制度》，并严格按照市财政局制定的公务接待、差旅费、培训费、会议费等相关管理办法，规范了公务支出管理。严格履行财务审批手续，做到了无计划安排不报账，无领导审批不报账，无经手人签字不报账，不符合财务规定的发票、票据不报账。经费的开支管理及费用报销均严格执行相关制度规定，坚持勤俭节约，确保资金的规范使用与安全。对项目资金的实施、资金投向及调度安排、固定资产购置及交付使用进行跟踪管理，确保项目资金专款专用。对于批量及单价在规定金额以上的物品采购，均实行政府采购制度。年度计划、重大支出等重大事项均经过党组会议集体讨论决定。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color w:val="333333"/>
          <w:kern w:val="0"/>
          <w:sz w:val="32"/>
          <w:szCs w:val="32"/>
        </w:rPr>
        <w:t>四、</w:t>
      </w:r>
      <w:r>
        <w:rPr>
          <w:rFonts w:hint="eastAsia" w:ascii="黑体" w:hAnsi="宋体" w:eastAsia="黑体" w:cs="宋体"/>
          <w:color w:val="333333"/>
          <w:kern w:val="0"/>
          <w:sz w:val="32"/>
          <w:szCs w:val="32"/>
        </w:rPr>
        <w:t>部门整体支出</w:t>
      </w:r>
      <w:r>
        <w:rPr>
          <w:color w:val="333333"/>
          <w:kern w:val="0"/>
          <w:sz w:val="32"/>
          <w:szCs w:val="32"/>
        </w:rPr>
        <w:t>绩效情况</w:t>
      </w:r>
    </w:p>
    <w:p>
      <w:pPr>
        <w:numPr>
          <w:ilvl w:val="0"/>
          <w:numId w:val="1"/>
        </w:num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根据市财政局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要求，我局以绩效评估为契机，认真对照评估指标，按照年度工作计划扎实推进2020年度财政支出绩效自评工作。总的来说，2020年我局全体干部职工积极履职、扎实工作，较好完成了全年工作目标。</w:t>
      </w:r>
      <w:r>
        <w:rPr>
          <w:rFonts w:hint="eastAsia" w:ascii="仿宋" w:hAnsi="仿宋" w:eastAsia="仿宋" w:cs="仿宋"/>
          <w:sz w:val="32"/>
          <w:szCs w:val="32"/>
        </w:rPr>
        <w:t>切实保证民政专项资金管理机制的顺利实施，《沅江市民政局内部控制基本制度》确保资金运行的规范性，早在2014年我市就在各乡镇建立了民政专项资金管理财政专户，并成立了财政集中管理的民政专账，专门负责民政专项资金管理经费的支出审核与监管，在使用权、自主权、会计主体法律责任不变的前提下，实行财政集中管理制度，基层民政单位全部实行报账制管理，确保专款专用，杜绝不合理的开支。</w:t>
      </w:r>
    </w:p>
    <w:p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（二）严格按照《沅江市公共服务项目资金管理办法》的要求对民政对象补助资金做到专款专用，</w:t>
      </w:r>
      <w:r>
        <w:rPr>
          <w:rFonts w:hint="eastAsia" w:ascii="仿宋" w:hAnsi="仿宋" w:eastAsia="仿宋" w:cs="仿宋"/>
          <w:color w:val="000000"/>
          <w:sz w:val="32"/>
        </w:rPr>
        <w:t>专项资金中直接补助到人的资金原则实行社会化发放，并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建立了民政对象动态管理机制。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（三）会计核算及账务处理。严格按照《沅江市民政局财务管理制度》民政专项资金管理全部实现了会计电算化，所有民政专项资金支出票据合法有效，账务处理规范，无违规行为发生。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rFonts w:hint="eastAsia" w:ascii="黑体" w:hAnsi="宋体" w:eastAsia="黑体" w:cs="宋体"/>
          <w:color w:val="333333"/>
          <w:kern w:val="0"/>
          <w:sz w:val="32"/>
          <w:szCs w:val="32"/>
        </w:rPr>
        <w:t>五、部门整体支出绩效评价指标分析</w:t>
      </w:r>
    </w:p>
    <w:p>
      <w:pPr>
        <w:widowControl/>
        <w:shd w:val="clear" w:color="auto" w:fill="FFFFFF"/>
        <w:spacing w:line="315" w:lineRule="atLeast"/>
        <w:ind w:right="480"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通过认真对照《</w:t>
      </w:r>
      <w:r>
        <w:rPr>
          <w:rFonts w:hint="eastAsia" w:eastAsia="仿宋_GB2312"/>
          <w:color w:val="000000"/>
          <w:kern w:val="0"/>
          <w:sz w:val="32"/>
          <w:szCs w:val="32"/>
        </w:rPr>
        <w:t>2020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年沅江市部门整体支出绩效评价指标表》开展自评，我局在“投入”、“过程”、“产出”、“效果”等方面都执行较好，自评得分</w:t>
      </w:r>
      <w:r>
        <w:rPr>
          <w:rFonts w:hint="eastAsia" w:eastAsia="仿宋_GB2312"/>
          <w:color w:val="000000"/>
          <w:kern w:val="0"/>
          <w:sz w:val="32"/>
          <w:szCs w:val="32"/>
        </w:rPr>
        <w:t>100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分。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rFonts w:hint="eastAsia"/>
          <w:color w:val="333333"/>
          <w:kern w:val="0"/>
          <w:sz w:val="32"/>
          <w:szCs w:val="32"/>
        </w:rPr>
        <w:t>六</w:t>
      </w:r>
      <w:r>
        <w:rPr>
          <w:color w:val="333333"/>
          <w:kern w:val="0"/>
          <w:sz w:val="32"/>
          <w:szCs w:val="32"/>
        </w:rPr>
        <w:t>、</w:t>
      </w:r>
      <w:r>
        <w:rPr>
          <w:rFonts w:hint="eastAsia" w:ascii="黑体" w:hAnsi="宋体" w:eastAsia="黑体" w:cs="宋体"/>
          <w:color w:val="333333"/>
          <w:kern w:val="0"/>
          <w:sz w:val="32"/>
          <w:szCs w:val="32"/>
        </w:rPr>
        <w:t>改进措施和有关建议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1、建议加大对民政专项资金的经费支持力度，促进民政事业的发展。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2、建议增加民政服务单位工作经费。</w:t>
      </w:r>
    </w:p>
    <w:p>
      <w:pPr>
        <w:widowControl/>
        <w:shd w:val="clear" w:color="auto" w:fill="FFFFFF"/>
        <w:spacing w:line="600" w:lineRule="atLeast"/>
        <w:ind w:firstLine="640"/>
        <w:jc w:val="left"/>
        <w:rPr>
          <w:rFonts w:hint="eastAsia" w:ascii="仿宋" w:hAnsi="宋体" w:eastAsia="仿宋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atLeast"/>
        <w:ind w:firstLine="640"/>
        <w:jc w:val="right"/>
        <w:rPr>
          <w:rFonts w:hint="eastAsia" w:ascii="宋体" w:hAnsi="宋体" w:cs="宋体"/>
          <w:color w:val="333333"/>
          <w:kern w:val="0"/>
          <w:szCs w:val="21"/>
        </w:rPr>
      </w:pPr>
      <w:r>
        <w:rPr>
          <w:color w:val="333333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600" w:lineRule="atLeast"/>
        <w:ind w:firstLine="640"/>
        <w:jc w:val="center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                     </w:t>
      </w:r>
    </w:p>
    <w:p>
      <w:pPr>
        <w:widowControl/>
        <w:shd w:val="clear" w:color="auto" w:fill="FFFFFF"/>
        <w:spacing w:line="600" w:lineRule="atLeast"/>
        <w:ind w:firstLine="640"/>
        <w:jc w:val="center"/>
        <w:rPr>
          <w:rFonts w:hint="eastAsia" w:ascii="宋体" w:hAnsi="宋体" w:cs="宋体"/>
          <w:color w:val="333333"/>
          <w:kern w:val="0"/>
          <w:szCs w:val="21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                       沅江市民政局</w:t>
      </w:r>
    </w:p>
    <w:p>
      <w:pPr>
        <w:widowControl/>
        <w:shd w:val="clear" w:color="auto" w:fill="FFFFFF"/>
        <w:wordWrap w:val="0"/>
        <w:spacing w:line="600" w:lineRule="atLeast"/>
        <w:ind w:right="640" w:firstLine="640"/>
        <w:jc w:val="center"/>
        <w:rPr>
          <w:rFonts w:hint="eastAsia" w:ascii="宋体" w:hAnsi="宋体" w:cs="宋体"/>
          <w:color w:val="333333"/>
          <w:kern w:val="0"/>
          <w:szCs w:val="21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              2021年</w:t>
      </w:r>
      <w:r>
        <w:rPr>
          <w:rFonts w:hint="eastAsia" w:eastAsia="仿宋_GB2312"/>
          <w:color w:val="333333"/>
          <w:kern w:val="0"/>
          <w:sz w:val="32"/>
          <w:szCs w:val="32"/>
        </w:rPr>
        <w:t>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月</w:t>
      </w:r>
      <w:r>
        <w:rPr>
          <w:rFonts w:hint="eastAsia" w:eastAsia="仿宋_GB2312"/>
          <w:color w:val="333333"/>
          <w:kern w:val="0"/>
          <w:sz w:val="32"/>
          <w:szCs w:val="32"/>
        </w:rPr>
        <w:t>09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before="120" w:line="432" w:lineRule="atLeas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spacing w:before="120" w:line="432" w:lineRule="atLeast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A90A7E"/>
    <w:multiLevelType w:val="singleLevel"/>
    <w:tmpl w:val="47A90A7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7D6"/>
    <w:rsid w:val="0018275F"/>
    <w:rsid w:val="001C3DA5"/>
    <w:rsid w:val="002B57D6"/>
    <w:rsid w:val="003A671D"/>
    <w:rsid w:val="0047170E"/>
    <w:rsid w:val="06E547A0"/>
    <w:rsid w:val="0D002E1D"/>
    <w:rsid w:val="15BB37EC"/>
    <w:rsid w:val="44BA5501"/>
    <w:rsid w:val="57D2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407</Words>
  <Characters>2326</Characters>
  <Lines>19</Lines>
  <Paragraphs>5</Paragraphs>
  <TotalTime>12</TotalTime>
  <ScaleCrop>false</ScaleCrop>
  <LinksUpToDate>false</LinksUpToDate>
  <CharactersWithSpaces>2728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2022-09-01T03:35:00Z</dcterms:created>
  <dc:creator>tangh</dc:creator>
  <cp:lastModifiedBy>系统管理员 null</cp:lastModifiedBy>
  <dcterms:modified xsi:type="dcterms:W3CDTF">2022-09-02T05:15:30Z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