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仿宋_GB2312" w:hAnsi="方正仿宋_GB2312" w:eastAsia="方正仿宋_GB2312" w:cs="方正仿宋_GB2312"/>
          <w:b/>
          <w:bCs/>
          <w:sz w:val="36"/>
          <w:szCs w:val="36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36"/>
          <w:szCs w:val="36"/>
          <w:lang w:val="en-US" w:eastAsia="zh-CN"/>
        </w:rPr>
        <w:t>沅江市茶盘洲镇人民政府2023年一季度预算执行情况分析报告</w:t>
      </w:r>
    </w:p>
    <w:p>
      <w:pPr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  <w:t>一、2023年一季度财政收入预算执行情况：</w:t>
      </w:r>
    </w:p>
    <w:p>
      <w:pPr>
        <w:ind w:firstLine="560" w:firstLineChars="200"/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  <w:t>2023年一季度收入完成1377.5万元，同比上年一季度完成1914</w:t>
      </w:r>
    </w:p>
    <w:p>
      <w:pPr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  <w:t>.4万元，减少536.9万元，减少 38.9%。其中：</w:t>
      </w:r>
    </w:p>
    <w:p>
      <w:pPr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  <w:t>财政拨款收入完成1091.2万元，占总收入的比重达79.2%。同步上年一季度完成1590.4万元，减少499.2万元，减少45.7%。</w:t>
      </w:r>
    </w:p>
    <w:p>
      <w:pPr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  <w:t>非同级财政拨款收入286.3万元，占总收入比重为20.7%。同比上年一季度减少37.7万元，减少13.1%。</w:t>
      </w:r>
    </w:p>
    <w:p>
      <w:pPr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  <w:t>二、2023年一季度财政支出预算执行情况</w:t>
      </w:r>
    </w:p>
    <w:p>
      <w:pPr>
        <w:numPr>
          <w:ilvl w:val="0"/>
          <w:numId w:val="1"/>
        </w:numPr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  <w:t>支出总体情况</w:t>
      </w:r>
    </w:p>
    <w:p>
      <w:pPr>
        <w:numPr>
          <w:ilvl w:val="0"/>
          <w:numId w:val="0"/>
        </w:numPr>
        <w:ind w:firstLine="560" w:firstLineChars="200"/>
        <w:jc w:val="both"/>
        <w:rPr>
          <w:rFonts w:hint="default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  <w:t>2023年一季度总支出1382.1万元，其中：基本支出955.8万元，比上年同季度减少337.6万元，减少24.4%；项目支出98万元，比上年同季度增加48.1万元，增加占3%。政府预算基金财政拨款37.36万元，其他资金支出290.94万元。</w:t>
      </w:r>
    </w:p>
    <w:p>
      <w:pPr>
        <w:numPr>
          <w:ilvl w:val="0"/>
          <w:numId w:val="1"/>
        </w:numPr>
        <w:ind w:left="0" w:leftChars="0" w:firstLine="0" w:firstLineChars="0"/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  <w:t>一般公共预算财政拨款支出预算执行情况</w:t>
      </w:r>
    </w:p>
    <w:p>
      <w:pPr>
        <w:numPr>
          <w:ilvl w:val="0"/>
          <w:numId w:val="0"/>
        </w:numPr>
        <w:ind w:leftChars="0" w:firstLine="840" w:firstLineChars="300"/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  <w:t>一般公共预算财政拨款支出总出1053.8万元，比上年一季度1540.5万元，减少486.7万元，同比减少46.18%。主要原因：一般公共预算财政拨款支出中项目支出减少。</w:t>
      </w:r>
    </w:p>
    <w:p>
      <w:pPr>
        <w:numPr>
          <w:ilvl w:val="0"/>
          <w:numId w:val="2"/>
        </w:numPr>
        <w:ind w:leftChars="0"/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  <w:t>一般公共服务支出财政拨款支出363.1万元，占支出34.4%；</w:t>
      </w:r>
    </w:p>
    <w:p>
      <w:pPr>
        <w:numPr>
          <w:ilvl w:val="0"/>
          <w:numId w:val="2"/>
        </w:numPr>
        <w:ind w:leftChars="0"/>
        <w:jc w:val="both"/>
        <w:rPr>
          <w:rFonts w:hint="default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  <w:t>科学技术支出20万元，占支出1.89%</w:t>
      </w:r>
    </w:p>
    <w:p>
      <w:pPr>
        <w:numPr>
          <w:ilvl w:val="0"/>
          <w:numId w:val="2"/>
        </w:numPr>
        <w:ind w:leftChars="0"/>
        <w:jc w:val="both"/>
        <w:rPr>
          <w:rFonts w:hint="default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  <w:t>公共安全支出12万元，占支出9.7%；</w:t>
      </w:r>
    </w:p>
    <w:p>
      <w:pPr>
        <w:numPr>
          <w:ilvl w:val="0"/>
          <w:numId w:val="2"/>
        </w:numPr>
        <w:ind w:leftChars="0"/>
        <w:jc w:val="both"/>
        <w:rPr>
          <w:rFonts w:hint="default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  <w:t>教育支出10.2万元，占支出1.3%；</w:t>
      </w:r>
    </w:p>
    <w:p>
      <w:pPr>
        <w:numPr>
          <w:ilvl w:val="0"/>
          <w:numId w:val="2"/>
        </w:numPr>
        <w:ind w:leftChars="0"/>
        <w:jc w:val="both"/>
        <w:rPr>
          <w:rFonts w:hint="default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  <w:t>社会保障和就业支出47.8万元，占支出4.53%；</w:t>
      </w:r>
    </w:p>
    <w:p>
      <w:pPr>
        <w:numPr>
          <w:ilvl w:val="0"/>
          <w:numId w:val="2"/>
        </w:numPr>
        <w:ind w:leftChars="0"/>
        <w:jc w:val="both"/>
        <w:rPr>
          <w:rFonts w:hint="default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  <w:t>卫生健康支出9.12万元，占支出0.08%；</w:t>
      </w:r>
    </w:p>
    <w:p>
      <w:pPr>
        <w:numPr>
          <w:ilvl w:val="0"/>
          <w:numId w:val="2"/>
        </w:numPr>
        <w:ind w:leftChars="0"/>
        <w:jc w:val="both"/>
        <w:rPr>
          <w:rFonts w:hint="default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  <w:t>节能环保支出10万元，占支出0.84%；</w:t>
      </w:r>
    </w:p>
    <w:p>
      <w:pPr>
        <w:numPr>
          <w:ilvl w:val="0"/>
          <w:numId w:val="2"/>
        </w:numPr>
        <w:ind w:leftChars="0"/>
        <w:jc w:val="both"/>
        <w:rPr>
          <w:rFonts w:hint="default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  <w:t>城乡社区支出34.3万元，占支出3.2%；</w:t>
      </w:r>
    </w:p>
    <w:p>
      <w:pPr>
        <w:numPr>
          <w:ilvl w:val="0"/>
          <w:numId w:val="2"/>
        </w:numPr>
        <w:ind w:leftChars="0"/>
        <w:jc w:val="both"/>
        <w:rPr>
          <w:rFonts w:hint="default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  <w:t>农林水支出503.6万元，占47%；</w:t>
      </w:r>
    </w:p>
    <w:p>
      <w:pPr>
        <w:numPr>
          <w:ilvl w:val="0"/>
          <w:numId w:val="2"/>
        </w:numPr>
        <w:ind w:leftChars="0"/>
        <w:jc w:val="both"/>
        <w:rPr>
          <w:rFonts w:hint="default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  <w:t>交通运输支出46万元，占支出4.3%；</w:t>
      </w:r>
    </w:p>
    <w:p>
      <w:pPr>
        <w:numPr>
          <w:ilvl w:val="0"/>
          <w:numId w:val="2"/>
        </w:numPr>
        <w:ind w:leftChars="0"/>
        <w:jc w:val="both"/>
        <w:rPr>
          <w:rFonts w:hint="default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  <w:t>自然资源海洋气象等支出3万元，占0.28%；</w:t>
      </w:r>
    </w:p>
    <w:p>
      <w:pPr>
        <w:numPr>
          <w:ilvl w:val="0"/>
          <w:numId w:val="2"/>
        </w:numPr>
        <w:ind w:leftChars="0"/>
        <w:jc w:val="both"/>
        <w:rPr>
          <w:rFonts w:hint="default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  <w:t>住房保障支出22.34万元，占2.1%；</w:t>
      </w:r>
    </w:p>
    <w:p>
      <w:pPr>
        <w:numPr>
          <w:ilvl w:val="0"/>
          <w:numId w:val="2"/>
        </w:numPr>
        <w:ind w:leftChars="0"/>
        <w:jc w:val="both"/>
        <w:rPr>
          <w:rFonts w:hint="default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  <w:t>灾害防治及应急管理支出5万元，占0.47%；</w:t>
      </w:r>
    </w:p>
    <w:p>
      <w:pPr>
        <w:numPr>
          <w:ilvl w:val="0"/>
          <w:numId w:val="2"/>
        </w:numPr>
        <w:ind w:leftChars="0"/>
        <w:jc w:val="both"/>
        <w:rPr>
          <w:rFonts w:hint="default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  <w:t>其他支出3.6万元，占0.34%；</w:t>
      </w:r>
    </w:p>
    <w:p>
      <w:pPr>
        <w:numPr>
          <w:ilvl w:val="0"/>
          <w:numId w:val="2"/>
        </w:numPr>
        <w:ind w:leftChars="0"/>
        <w:jc w:val="both"/>
        <w:rPr>
          <w:rFonts w:hint="default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  <w:t>转移性支出23万元，占2.18%</w:t>
      </w:r>
    </w:p>
    <w:p>
      <w:pPr>
        <w:numPr>
          <w:ilvl w:val="0"/>
          <w:numId w:val="3"/>
        </w:numPr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  <w:t>政府性基金预算执行情况</w:t>
      </w:r>
    </w:p>
    <w:p>
      <w:pPr>
        <w:numPr>
          <w:ilvl w:val="0"/>
          <w:numId w:val="4"/>
        </w:numPr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  <w:t>政府性基金预算收支总体情况。</w:t>
      </w:r>
    </w:p>
    <w:p>
      <w:pPr>
        <w:numPr>
          <w:ilvl w:val="0"/>
          <w:numId w:val="0"/>
        </w:numPr>
        <w:ind w:firstLine="560" w:firstLineChars="200"/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  <w:t>2023年一季度政府性基金预算财政拨款收入总计27.3万元，比上年同期减少22.63万元，同比减少82.81%；政府性基金预算财政拨款支出总计27.3万元。</w:t>
      </w:r>
    </w:p>
    <w:p>
      <w:pPr>
        <w:numPr>
          <w:ilvl w:val="0"/>
          <w:numId w:val="3"/>
        </w:numPr>
        <w:ind w:left="0" w:leftChars="0" w:firstLine="0" w:firstLineChars="0"/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  <w:t>“三公”经费预算执行情况分析</w:t>
      </w:r>
    </w:p>
    <w:p>
      <w:pPr>
        <w:numPr>
          <w:ilvl w:val="0"/>
          <w:numId w:val="5"/>
        </w:numPr>
        <w:ind w:leftChars="0"/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  <w:t>“三公”经费支出情况：2023年一季度，“三公”经费8.8万元，元，比上年增加6.42万元。增加主要原因是：2023年政府创文创卫及人居环境整治费用增加，会议费1.5万元，公务接待费4.4元，公务用车购置及运行维护费完成2.9万元。</w:t>
      </w:r>
    </w:p>
    <w:p>
      <w:pPr>
        <w:numPr>
          <w:ilvl w:val="0"/>
          <w:numId w:val="0"/>
        </w:numPr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  <w:t>2023年一季度，我们在狠抓收入，严格控制支出方面做了以下工作：</w:t>
      </w:r>
    </w:p>
    <w:p>
      <w:pPr>
        <w:numPr>
          <w:ilvl w:val="0"/>
          <w:numId w:val="6"/>
        </w:numPr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  <w:t>争取镇党委、政府对财政工作的重视，继续与中央财政政策保持一致，严格收费。在确保全镇行政事业单位干部职工工资足额及时发放的同时，重点倾斜了对疫情防控、脱贫攻坚、基层“三保”等重点领域的投入。</w:t>
      </w:r>
    </w:p>
    <w:p>
      <w:pPr>
        <w:numPr>
          <w:ilvl w:val="0"/>
          <w:numId w:val="6"/>
        </w:numPr>
        <w:jc w:val="both"/>
        <w:rPr>
          <w:rFonts w:hint="default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  <w:t>充分发挥财政职能，支持地方经济发展。积极推行政务公开，不断改进服务方式，加强财政窗口建设。通过向上级争取资金，加大对农村公益事业财政奖补投资力度，促进公益事业发展。</w:t>
      </w:r>
    </w:p>
    <w:p>
      <w:pPr>
        <w:numPr>
          <w:ilvl w:val="0"/>
          <w:numId w:val="6"/>
        </w:numPr>
        <w:jc w:val="both"/>
        <w:rPr>
          <w:rFonts w:hint="default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  <w:t>保证重点支出需要，全力维护社会稳定。根据“积极稳妥，留有余地”和“保工资、保运转、保民生”的三保方针，坚持预算内外资金统筹安排，大力调整支出结构，坚持保重点压一般、保急需压其他，保证教育、农业和社保等法定重点支出需要。我镇财政在十分困难的情况下，基本保证了政府机构的正常运转。</w:t>
      </w:r>
    </w:p>
    <w:p>
      <w:pPr>
        <w:numPr>
          <w:ilvl w:val="0"/>
          <w:numId w:val="6"/>
        </w:numPr>
        <w:jc w:val="both"/>
        <w:rPr>
          <w:rFonts w:hint="default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  <w:t>加强财政监督，提高财政资金使用效益。规范单位财务管理和资金使用，规范会计核算。确保专款专用，主要对社保资金、救灾资金、涉农补贴资金等各类资金追踪管理与监督力度，规范了财政资金使用途径。</w:t>
      </w:r>
    </w:p>
    <w:p>
      <w:pPr>
        <w:numPr>
          <w:ilvl w:val="0"/>
          <w:numId w:val="6"/>
        </w:numPr>
        <w:jc w:val="both"/>
        <w:rPr>
          <w:rFonts w:hint="default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  <w:t>提高自身素质，加强队伍建设：以机关制度、财政干部管理暂行办法为契机，切实转变干部工作作风，巩固行风建设，细化政务公开，建立健全各项内部管理制度。认真参与上级部门组织的业务培训，进一步规范会计基础工作，提高了财政管理水平。</w:t>
      </w:r>
    </w:p>
    <w:p>
      <w:pPr>
        <w:numPr>
          <w:numId w:val="0"/>
        </w:numPr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  <w:t xml:space="preserve">                        </w:t>
      </w:r>
    </w:p>
    <w:p>
      <w:pPr>
        <w:numPr>
          <w:numId w:val="0"/>
        </w:numPr>
        <w:ind w:firstLine="4480" w:firstLineChars="1600"/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  <w:t>沅江市茶盘洲镇财政所</w:t>
      </w:r>
    </w:p>
    <w:p>
      <w:pPr>
        <w:numPr>
          <w:numId w:val="0"/>
        </w:numPr>
        <w:ind w:firstLine="5040" w:firstLineChars="1800"/>
        <w:jc w:val="both"/>
        <w:rPr>
          <w:rFonts w:hint="default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  <w:t>2023年3月31日</w:t>
      </w:r>
    </w:p>
    <w:p>
      <w:pPr>
        <w:numPr>
          <w:numId w:val="0"/>
        </w:numPr>
        <w:jc w:val="both"/>
        <w:rPr>
          <w:rFonts w:hint="default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A0204"/>
    <w:charset w:val="00"/>
    <w:family w:val="swiss"/>
    <w:pitch w:val="default"/>
    <w:sig w:usb0="E00002FF" w:usb1="4000ACFF" w:usb2="00000001" w:usb3="00000000" w:csb0="2000019F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2136ADD"/>
    <w:multiLevelType w:val="singleLevel"/>
    <w:tmpl w:val="D2136AD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202AE15F"/>
    <w:multiLevelType w:val="singleLevel"/>
    <w:tmpl w:val="202AE15F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2EC20D0F"/>
    <w:multiLevelType w:val="singleLevel"/>
    <w:tmpl w:val="2EC20D0F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636ACDE7"/>
    <w:multiLevelType w:val="singleLevel"/>
    <w:tmpl w:val="636ACDE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69E5A69C"/>
    <w:multiLevelType w:val="singleLevel"/>
    <w:tmpl w:val="69E5A69C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5">
    <w:nsid w:val="7F5D1B5F"/>
    <w:multiLevelType w:val="singleLevel"/>
    <w:tmpl w:val="7F5D1B5F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5"/>
  </w:num>
  <w:num w:numId="2">
    <w:abstractNumId w:val="1"/>
  </w:num>
  <w:num w:numId="3">
    <w:abstractNumId w:val="2"/>
  </w:num>
  <w:num w:numId="4">
    <w:abstractNumId w:val="4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NkMTJlNWQ3NGZjMjkyNTIxYjk5Nzk2ZDE0Mjc5NzYifQ=="/>
  </w:docVars>
  <w:rsids>
    <w:rsidRoot w:val="00000000"/>
    <w:rsid w:val="1265073E"/>
    <w:rsid w:val="2D8E15E9"/>
    <w:rsid w:val="48FD343D"/>
    <w:rsid w:val="4BFA199F"/>
    <w:rsid w:val="5B0E13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1359</Words>
  <Characters>1604</Characters>
  <Lines>0</Lines>
  <Paragraphs>0</Paragraphs>
  <TotalTime>33</TotalTime>
  <ScaleCrop>false</ScaleCrop>
  <LinksUpToDate>false</LinksUpToDate>
  <CharactersWithSpaces>1605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2022-12-05T10:54:00Z</dcterms:created>
  <dc:creator>Administrator</dc:creator>
  <cp:lastModifiedBy>WPS_1657091221</cp:lastModifiedBy>
  <cp:lastPrinted>2023-05-29T07:59:00Z</cp:lastPrinted>
  <dcterms:modified xsi:type="dcterms:W3CDTF">2023-05-30T01:27:49Z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1B45122101264568A7055323795CC5AF_13</vt:lpwstr>
  </property>
</Properties>
</file>