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5ED18">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41E05B3">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441E05B3">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404D4454">
      <w:pPr>
        <w:pStyle w:val="12"/>
        <w:jc w:val="center"/>
        <w:rPr>
          <w:sz w:val="56"/>
          <w:szCs w:val="56"/>
        </w:rPr>
      </w:pPr>
    </w:p>
    <w:p w14:paraId="1E6E539D">
      <w:pPr>
        <w:pStyle w:val="12"/>
        <w:jc w:val="center"/>
        <w:rPr>
          <w:sz w:val="84"/>
          <w:szCs w:val="84"/>
        </w:rPr>
      </w:pPr>
    </w:p>
    <w:p w14:paraId="44F72FCD">
      <w:pPr>
        <w:pStyle w:val="12"/>
        <w:jc w:val="center"/>
        <w:rPr>
          <w:sz w:val="84"/>
          <w:szCs w:val="84"/>
        </w:rPr>
      </w:pPr>
    </w:p>
    <w:p w14:paraId="42B6BFAD">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03B364CB">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沅江市林业局</w:t>
      </w:r>
      <w:r>
        <w:rPr>
          <w:rFonts w:hint="eastAsia" w:ascii="方正小标宋_GBK" w:hAnsi="方正小标宋_GBK" w:eastAsia="方正小标宋_GBK" w:cs="方正小标宋_GBK"/>
          <w:sz w:val="84"/>
          <w:szCs w:val="84"/>
        </w:rPr>
        <w:t>部门决算</w:t>
      </w:r>
    </w:p>
    <w:p w14:paraId="7D8488BF">
      <w:pPr>
        <w:pStyle w:val="12"/>
        <w:jc w:val="center"/>
        <w:rPr>
          <w:rFonts w:hint="eastAsia" w:ascii="方正小标宋_GBK" w:hAnsi="方正小标宋_GBK" w:eastAsia="方正小标宋_GBK" w:cs="方正小标宋_GBK"/>
          <w:sz w:val="56"/>
          <w:szCs w:val="56"/>
        </w:rPr>
      </w:pPr>
    </w:p>
    <w:p w14:paraId="5C9345F4">
      <w:pPr>
        <w:pStyle w:val="12"/>
        <w:jc w:val="center"/>
        <w:rPr>
          <w:sz w:val="56"/>
          <w:szCs w:val="56"/>
        </w:rPr>
      </w:pPr>
    </w:p>
    <w:p w14:paraId="4D05BD74">
      <w:pPr>
        <w:pStyle w:val="12"/>
        <w:jc w:val="center"/>
        <w:rPr>
          <w:sz w:val="56"/>
          <w:szCs w:val="56"/>
        </w:rPr>
      </w:pPr>
    </w:p>
    <w:p w14:paraId="4941BB37">
      <w:pPr>
        <w:pStyle w:val="12"/>
        <w:jc w:val="center"/>
        <w:rPr>
          <w:sz w:val="56"/>
          <w:szCs w:val="56"/>
        </w:rPr>
      </w:pPr>
    </w:p>
    <w:p w14:paraId="727A57C9">
      <w:pPr>
        <w:pStyle w:val="12"/>
        <w:jc w:val="center"/>
        <w:rPr>
          <w:sz w:val="32"/>
          <w:szCs w:val="32"/>
        </w:rPr>
      </w:pPr>
    </w:p>
    <w:p w14:paraId="53B37A6F">
      <w:pPr>
        <w:pStyle w:val="12"/>
        <w:jc w:val="center"/>
        <w:rPr>
          <w:sz w:val="32"/>
          <w:szCs w:val="32"/>
        </w:rPr>
      </w:pPr>
    </w:p>
    <w:p w14:paraId="15848030">
      <w:pPr>
        <w:pStyle w:val="12"/>
        <w:jc w:val="center"/>
        <w:rPr>
          <w:sz w:val="32"/>
          <w:szCs w:val="32"/>
        </w:rPr>
      </w:pPr>
    </w:p>
    <w:p w14:paraId="160C0E4B">
      <w:pPr>
        <w:pStyle w:val="12"/>
        <w:jc w:val="center"/>
        <w:rPr>
          <w:sz w:val="32"/>
          <w:szCs w:val="32"/>
        </w:rPr>
      </w:pPr>
    </w:p>
    <w:p w14:paraId="6130D6CE">
      <w:pPr>
        <w:pStyle w:val="12"/>
        <w:jc w:val="center"/>
        <w:rPr>
          <w:sz w:val="32"/>
          <w:szCs w:val="32"/>
        </w:rPr>
      </w:pPr>
    </w:p>
    <w:p w14:paraId="4EBFE684">
      <w:pPr>
        <w:pStyle w:val="12"/>
        <w:spacing w:line="540" w:lineRule="exact"/>
        <w:jc w:val="center"/>
        <w:rPr>
          <w:sz w:val="56"/>
          <w:szCs w:val="56"/>
        </w:rPr>
      </w:pPr>
    </w:p>
    <w:p w14:paraId="2603CA99">
      <w:pPr>
        <w:pStyle w:val="12"/>
        <w:spacing w:line="500" w:lineRule="exact"/>
        <w:jc w:val="both"/>
        <w:rPr>
          <w:b/>
          <w:sz w:val="36"/>
          <w:szCs w:val="28"/>
        </w:rPr>
      </w:pPr>
    </w:p>
    <w:p w14:paraId="459F503C">
      <w:pPr>
        <w:pStyle w:val="12"/>
        <w:spacing w:line="500" w:lineRule="exact"/>
        <w:jc w:val="center"/>
        <w:rPr>
          <w:b/>
          <w:sz w:val="36"/>
          <w:szCs w:val="28"/>
        </w:rPr>
      </w:pPr>
      <w:r>
        <w:rPr>
          <w:rFonts w:hint="eastAsia"/>
          <w:b/>
          <w:sz w:val="36"/>
          <w:szCs w:val="28"/>
        </w:rPr>
        <w:t>目录</w:t>
      </w:r>
    </w:p>
    <w:p w14:paraId="64586103">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沅江市林业局</w:t>
      </w:r>
      <w:r>
        <w:rPr>
          <w:rFonts w:hint="eastAsia" w:ascii="黑体" w:hAnsi="黑体" w:eastAsia="黑体" w:cs="黑体"/>
          <w:b w:val="0"/>
          <w:bCs/>
          <w:sz w:val="28"/>
          <w:szCs w:val="28"/>
        </w:rPr>
        <w:t>概况</w:t>
      </w:r>
    </w:p>
    <w:p w14:paraId="1BBCCB02">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A6574C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E3B1968">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01CFE86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8DCE5E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237CB69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66D67B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486CEE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D41349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0CEEA48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C1B0B5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DB3533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5AFC4D6">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6B937B4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E3C9291">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54CF90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F0D704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8B0D8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481EE7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01BEA29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F9AE9D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133A5D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332258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797CF7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098409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BC0DBF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14A535DE">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4AF483E">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3E743CA">
      <w:pPr>
        <w:pStyle w:val="12"/>
        <w:spacing w:line="500" w:lineRule="exact"/>
        <w:rPr>
          <w:rFonts w:hint="eastAsia" w:ascii="黑体" w:hAnsi="黑体" w:eastAsia="黑体" w:cs="黑体"/>
          <w:b w:val="0"/>
          <w:bCs/>
          <w:sz w:val="28"/>
          <w:szCs w:val="28"/>
        </w:rPr>
      </w:pPr>
    </w:p>
    <w:p w14:paraId="768E7E62">
      <w:pPr>
        <w:jc w:val="center"/>
        <w:rPr>
          <w:sz w:val="72"/>
          <w:szCs w:val="72"/>
        </w:rPr>
      </w:pPr>
    </w:p>
    <w:p w14:paraId="0CAADEC7">
      <w:pPr>
        <w:jc w:val="center"/>
        <w:rPr>
          <w:sz w:val="72"/>
          <w:szCs w:val="72"/>
        </w:rPr>
      </w:pPr>
    </w:p>
    <w:p w14:paraId="34A3B3B6">
      <w:pPr>
        <w:jc w:val="center"/>
        <w:rPr>
          <w:sz w:val="72"/>
          <w:szCs w:val="72"/>
        </w:rPr>
      </w:pPr>
    </w:p>
    <w:p w14:paraId="1093BAD3">
      <w:pPr>
        <w:jc w:val="center"/>
        <w:rPr>
          <w:sz w:val="72"/>
          <w:szCs w:val="72"/>
        </w:rPr>
      </w:pPr>
    </w:p>
    <w:p w14:paraId="3FB59BD6">
      <w:pPr>
        <w:rPr>
          <w:rFonts w:hint="eastAsia" w:ascii="方正小标宋_GBK" w:hAnsi="方正小标宋_GBK" w:eastAsia="方正小标宋_GBK" w:cs="方正小标宋_GBK"/>
          <w:sz w:val="72"/>
          <w:szCs w:val="72"/>
        </w:rPr>
      </w:pPr>
    </w:p>
    <w:p w14:paraId="24CF8789">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1023076">
      <w:pPr>
        <w:pStyle w:val="12"/>
        <w:jc w:val="center"/>
        <w:rPr>
          <w:rFonts w:hint="eastAsia" w:ascii="方正小标宋_GBK" w:hAnsi="方正小标宋_GBK" w:eastAsia="方正小标宋_GBK" w:cs="方正小标宋_GBK"/>
          <w:sz w:val="84"/>
          <w:szCs w:val="84"/>
        </w:rPr>
      </w:pPr>
    </w:p>
    <w:p w14:paraId="22D705C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沅江市林业局</w:t>
      </w:r>
      <w:r>
        <w:rPr>
          <w:rFonts w:hint="eastAsia" w:ascii="方正小标宋_GBK" w:hAnsi="方正小标宋_GBK" w:eastAsia="方正小标宋_GBK" w:cs="方正小标宋_GBK"/>
          <w:sz w:val="84"/>
          <w:szCs w:val="84"/>
        </w:rPr>
        <w:t>概况</w:t>
      </w:r>
    </w:p>
    <w:p w14:paraId="2234C1BE">
      <w:pPr>
        <w:jc w:val="center"/>
        <w:rPr>
          <w:rFonts w:hint="eastAsia" w:ascii="方正小标宋_GBK" w:hAnsi="方正小标宋_GBK" w:eastAsia="方正小标宋_GBK" w:cs="方正小标宋_GBK"/>
          <w:sz w:val="72"/>
          <w:szCs w:val="72"/>
        </w:rPr>
      </w:pPr>
    </w:p>
    <w:p w14:paraId="579220BC">
      <w:pPr>
        <w:jc w:val="center"/>
        <w:rPr>
          <w:rFonts w:hint="eastAsia" w:ascii="方正小标宋_GBK" w:hAnsi="方正小标宋_GBK" w:eastAsia="方正小标宋_GBK" w:cs="方正小标宋_GBK"/>
          <w:sz w:val="72"/>
          <w:szCs w:val="72"/>
        </w:rPr>
      </w:pPr>
    </w:p>
    <w:p w14:paraId="48268843">
      <w:pPr>
        <w:jc w:val="center"/>
        <w:rPr>
          <w:sz w:val="72"/>
          <w:szCs w:val="72"/>
        </w:rPr>
      </w:pPr>
    </w:p>
    <w:p w14:paraId="3E1FEF61">
      <w:pPr>
        <w:jc w:val="center"/>
        <w:rPr>
          <w:sz w:val="72"/>
          <w:szCs w:val="72"/>
        </w:rPr>
      </w:pPr>
    </w:p>
    <w:p w14:paraId="0D7E7CFD">
      <w:pPr>
        <w:jc w:val="center"/>
        <w:rPr>
          <w:sz w:val="72"/>
          <w:szCs w:val="72"/>
        </w:rPr>
      </w:pPr>
    </w:p>
    <w:p w14:paraId="59401B8C">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31C9E34D">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（1）负责林业及其生态保护修复的监督管理；拟订林业及其生态保护修复的政策、规划、标准并组织实施；组织开展森林、湿地、荒漠和陆生野生动植物资源动态监测与评价。</w:t>
      </w:r>
    </w:p>
    <w:p w14:paraId="2D962E2A">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2）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14:paraId="7AA1B07C">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3）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14:paraId="2CEBF244">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4）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14:paraId="2B0447AE">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（5）负责监督管理石漠化防治工作。组织开展荒漠调查；组织拟订防沙治沙、石漠化防治及沙化土地封禁保护区建设规划；监督管理沙化土地的开发利用；组织沙化灾害预测预报和应急处置。</w:t>
      </w:r>
    </w:p>
    <w:p w14:paraId="01A228E5">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6）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14:paraId="3D809E40">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7）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14:paraId="7706B96E">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8）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14:paraId="77DC9232">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（9）制定全市林业产业发展政策，合理调整林业产业发展布局，促进林业产业协调发展；制定林业资源优化配置及竹木材利用政策，按照规定，组织指导林产品质量监督；指导生态扶贫相关工作。</w:t>
      </w:r>
    </w:p>
    <w:p w14:paraId="700B72AD">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10）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14:paraId="7420DEFB">
      <w:pPr>
        <w:widowControl/>
        <w:spacing w:line="600" w:lineRule="exact"/>
        <w:rPr>
          <w:rFonts w:hint="eastAsia" w:ascii="Times New Roman" w:hAnsi="Times New Roman" w:eastAsia="仿宋_GB2312" w:cs="仿宋_GB2312"/>
          <w:bCs/>
          <w:kern w:val="0"/>
          <w:sz w:val="32"/>
          <w:szCs w:val="32"/>
        </w:rPr>
      </w:pPr>
      <w:bookmarkStart w:id="0" w:name="OLE_LINK7"/>
      <w:bookmarkStart w:id="1" w:name="OLE_LINK8"/>
      <w:r>
        <w:rPr>
          <w:rFonts w:hint="eastAsia" w:ascii="Times New Roman" w:hAnsi="Times New Roman" w:eastAsia="仿宋_GB2312" w:cs="仿宋_GB2312"/>
          <w:bCs/>
          <w:kern w:val="0"/>
          <w:sz w:val="32"/>
          <w:szCs w:val="32"/>
        </w:rPr>
        <w:t>（11）指导森林公安工作。监督管理森林公安队伍，指导全市林业重大违法案件的查处；负责相关行政执法监管工作；指导林区社会治安治理工作。</w:t>
      </w:r>
    </w:p>
    <w:bookmarkEnd w:id="0"/>
    <w:bookmarkEnd w:id="1"/>
    <w:p w14:paraId="388DA06E">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12）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14:paraId="07FC5225">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13）监督管理林业资金和国有资产，提出林业预算内投资、财政性资金安排建议；按市政府规定权限，审核全市规划内和年度计划内投资项目；参与拟订林业经济调节政策，组织、指导生态补偿制度的建立和实施。</w:t>
      </w:r>
    </w:p>
    <w:p w14:paraId="72CBF6AC">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（14）负责林业科技、教育和外事工作；指导全市林业人才队伍建设；组织实施林业国际交流与合作事务；承担湿地、防治荒漠化、濒危野生动植物等国际公约履约工作。</w:t>
      </w:r>
    </w:p>
    <w:p w14:paraId="115BC136">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（15）完成市委、市政府交办的其他任务。</w:t>
      </w:r>
    </w:p>
    <w:p w14:paraId="1E2BA23B">
      <w:pPr>
        <w:ind w:firstLine="1120" w:firstLineChars="350"/>
        <w:jc w:val="left"/>
        <w:rPr>
          <w:rFonts w:hint="eastAsia" w:ascii="Times New Roman" w:hAnsi="Times New Roman" w:eastAsia="仿宋_GB2312" w:cs="仿宋_GB2312"/>
          <w:sz w:val="32"/>
          <w:szCs w:val="32"/>
        </w:rPr>
      </w:pPr>
    </w:p>
    <w:p w14:paraId="03C6B696">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w:t>
      </w:r>
    </w:p>
    <w:p w14:paraId="573F04C5">
      <w:pPr>
        <w:widowControl/>
        <w:shd w:val="clear" w:color="auto" w:fill="FFFFFF"/>
        <w:spacing w:before="100" w:after="100" w:line="560" w:lineRule="atLeast"/>
        <w:jc w:val="left"/>
        <w:rPr>
          <w:rFonts w:ascii="宋体" w:hAnsi="宋体" w:eastAsia="仿宋" w:cs="宋体"/>
          <w:color w:val="000000"/>
          <w:kern w:val="0"/>
          <w:sz w:val="32"/>
          <w:szCs w:val="32"/>
        </w:rPr>
      </w:pPr>
      <w:r>
        <w:rPr>
          <w:rFonts w:hint="eastAsia" w:ascii="仿宋" w:hAnsi="仿宋" w:eastAsia="仿宋" w:cs="宋体"/>
          <w:color w:val="000000"/>
          <w:kern w:val="0"/>
          <w:sz w:val="32"/>
          <w:szCs w:val="32"/>
        </w:rPr>
        <w:t>根据编委核定，我局内设股室七个，所属事业单位11个（含3个独立二级机构），全部纳入202</w:t>
      </w:r>
      <w:r>
        <w:rPr>
          <w:rFonts w:hint="eastAsia" w:ascii="仿宋" w:hAnsi="仿宋" w:eastAsia="仿宋" w:cs="宋体"/>
          <w:color w:val="000000"/>
          <w:kern w:val="0"/>
          <w:sz w:val="32"/>
          <w:szCs w:val="32"/>
          <w:lang w:val="en-US" w:eastAsia="zh-CN"/>
        </w:rPr>
        <w:t>3</w:t>
      </w:r>
      <w:r>
        <w:rPr>
          <w:rFonts w:hint="eastAsia" w:ascii="仿宋" w:hAnsi="仿宋" w:eastAsia="仿宋" w:cs="宋体"/>
          <w:color w:val="000000"/>
          <w:kern w:val="0"/>
          <w:sz w:val="32"/>
          <w:szCs w:val="32"/>
        </w:rPr>
        <w:t>年部门决算编制范围。</w:t>
      </w:r>
      <w:r>
        <w:rPr>
          <w:rFonts w:hint="eastAsia" w:ascii="宋体" w:hAnsi="宋体" w:eastAsia="仿宋" w:cs="宋体"/>
          <w:color w:val="000000"/>
          <w:kern w:val="0"/>
          <w:sz w:val="32"/>
          <w:szCs w:val="32"/>
        </w:rPr>
        <w:t> </w:t>
      </w:r>
    </w:p>
    <w:p w14:paraId="7D9B0B05">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cs="Times New Roman"/>
          <w:sz w:val="32"/>
        </w:rPr>
        <w:t>内设股室分别是办公室、人事股、规划财务股、造林绿化股、资源林政股、自然保护地管理股、森林防火股。</w:t>
      </w:r>
    </w:p>
    <w:p w14:paraId="757A0FB2">
      <w:pPr>
        <w:pStyle w:val="7"/>
        <w:rPr>
          <w:rFonts w:hint="eastAsia"/>
        </w:rPr>
      </w:pPr>
      <w:r>
        <w:rPr>
          <w:rFonts w:hint="eastAsia" w:ascii="仿宋" w:hAnsi="仿宋" w:eastAsia="仿宋" w:cs="宋体"/>
          <w:color w:val="000000"/>
          <w:kern w:val="0"/>
          <w:sz w:val="32"/>
          <w:szCs w:val="32"/>
        </w:rPr>
        <w:t>所属事业单位分别是市林业综合行政执法大队、市森林病虫害防治保护站、市湿地保护站、市琼湖国家湿地公园事务中心、湖南省沅江市龙虎山林场、市林业科学研究所、市苗圃场（市目平湖林芦站）、市林木种苗和技术推广站、市林业调查事务中心、市南洞庭湖风景名胜事务中心、市林长制事务中心。</w:t>
      </w:r>
    </w:p>
    <w:p w14:paraId="67EC28AE">
      <w:pPr>
        <w:jc w:val="left"/>
        <w:rPr>
          <w:rFonts w:ascii="仿宋_GB2312" w:eastAsia="仿宋_GB2312" w:hAnsiTheme="minorEastAsia"/>
          <w:sz w:val="28"/>
          <w:szCs w:val="32"/>
        </w:rPr>
      </w:pPr>
    </w:p>
    <w:p w14:paraId="1FC966A7">
      <w:pPr>
        <w:jc w:val="center"/>
        <w:rPr>
          <w:rFonts w:ascii="黑体" w:hAnsi="黑体" w:eastAsia="黑体"/>
          <w:sz w:val="28"/>
          <w:szCs w:val="28"/>
        </w:rPr>
      </w:pPr>
    </w:p>
    <w:p w14:paraId="59D5D6B1">
      <w:pPr>
        <w:jc w:val="center"/>
        <w:rPr>
          <w:rFonts w:ascii="黑体" w:hAnsi="黑体" w:eastAsia="黑体"/>
          <w:sz w:val="28"/>
          <w:szCs w:val="28"/>
        </w:rPr>
      </w:pPr>
    </w:p>
    <w:p w14:paraId="0703C27B">
      <w:pPr>
        <w:jc w:val="center"/>
        <w:rPr>
          <w:rFonts w:ascii="黑体" w:hAnsi="黑体" w:eastAsia="黑体"/>
          <w:sz w:val="28"/>
          <w:szCs w:val="28"/>
        </w:rPr>
      </w:pPr>
    </w:p>
    <w:p w14:paraId="170FD0B3">
      <w:pPr>
        <w:jc w:val="center"/>
        <w:rPr>
          <w:rFonts w:ascii="黑体" w:hAnsi="黑体" w:eastAsia="黑体"/>
          <w:sz w:val="28"/>
          <w:szCs w:val="28"/>
        </w:rPr>
      </w:pPr>
    </w:p>
    <w:p w14:paraId="4D07A104">
      <w:pPr>
        <w:jc w:val="center"/>
        <w:rPr>
          <w:rFonts w:ascii="黑体" w:hAnsi="黑体" w:eastAsia="黑体"/>
          <w:sz w:val="28"/>
          <w:szCs w:val="28"/>
        </w:rPr>
      </w:pPr>
    </w:p>
    <w:p w14:paraId="108E561E">
      <w:pPr>
        <w:jc w:val="center"/>
        <w:rPr>
          <w:rFonts w:ascii="黑体" w:hAnsi="黑体" w:eastAsia="黑体"/>
          <w:sz w:val="28"/>
          <w:szCs w:val="28"/>
        </w:rPr>
      </w:pPr>
    </w:p>
    <w:p w14:paraId="50AC54B2">
      <w:pPr>
        <w:jc w:val="center"/>
        <w:rPr>
          <w:rFonts w:ascii="黑体" w:hAnsi="黑体" w:eastAsia="黑体"/>
          <w:sz w:val="28"/>
          <w:szCs w:val="28"/>
        </w:rPr>
      </w:pPr>
    </w:p>
    <w:p w14:paraId="215A36A5">
      <w:pPr>
        <w:jc w:val="center"/>
        <w:rPr>
          <w:rFonts w:ascii="黑体" w:hAnsi="黑体" w:eastAsia="黑体"/>
          <w:sz w:val="28"/>
          <w:szCs w:val="28"/>
        </w:rPr>
      </w:pPr>
    </w:p>
    <w:p w14:paraId="08B947F9">
      <w:pPr>
        <w:jc w:val="center"/>
        <w:rPr>
          <w:rFonts w:ascii="黑体" w:hAnsi="黑体" w:eastAsia="黑体"/>
          <w:sz w:val="28"/>
          <w:szCs w:val="28"/>
        </w:rPr>
      </w:pPr>
    </w:p>
    <w:p w14:paraId="70DBDCF3">
      <w:pPr>
        <w:jc w:val="center"/>
        <w:rPr>
          <w:sz w:val="72"/>
          <w:szCs w:val="72"/>
        </w:rPr>
      </w:pPr>
    </w:p>
    <w:p w14:paraId="5D5BF841">
      <w:pPr>
        <w:pStyle w:val="12"/>
        <w:jc w:val="both"/>
        <w:rPr>
          <w:rFonts w:hint="eastAsia" w:ascii="方正小标宋_GBK" w:hAnsi="方正小标宋_GBK" w:eastAsia="方正小标宋_GBK" w:cs="方正小标宋_GBK"/>
          <w:sz w:val="84"/>
          <w:szCs w:val="84"/>
        </w:rPr>
      </w:pPr>
    </w:p>
    <w:p w14:paraId="390CE49C">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B26D810">
      <w:pPr>
        <w:pStyle w:val="12"/>
        <w:jc w:val="center"/>
        <w:rPr>
          <w:rFonts w:hint="eastAsia" w:ascii="方正小标宋_GBK" w:hAnsi="方正小标宋_GBK" w:eastAsia="方正小标宋_GBK" w:cs="方正小标宋_GBK"/>
          <w:sz w:val="84"/>
          <w:szCs w:val="84"/>
        </w:rPr>
      </w:pPr>
    </w:p>
    <w:p w14:paraId="53E87FA5">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CCE9302">
      <w:pPr>
        <w:jc w:val="center"/>
        <w:rPr>
          <w:sz w:val="72"/>
          <w:szCs w:val="72"/>
        </w:rPr>
      </w:pPr>
    </w:p>
    <w:p w14:paraId="1A09FEB8">
      <w:pPr>
        <w:pStyle w:val="12"/>
        <w:rPr>
          <w:sz w:val="72"/>
          <w:szCs w:val="72"/>
        </w:rPr>
      </w:pPr>
    </w:p>
    <w:p w14:paraId="6CFBC823">
      <w:pPr>
        <w:pStyle w:val="12"/>
        <w:rPr>
          <w:sz w:val="72"/>
          <w:szCs w:val="72"/>
        </w:rPr>
      </w:pPr>
    </w:p>
    <w:p w14:paraId="2507D3D3">
      <w:pPr>
        <w:pStyle w:val="12"/>
        <w:rPr>
          <w:sz w:val="72"/>
          <w:szCs w:val="72"/>
        </w:rPr>
      </w:pPr>
    </w:p>
    <w:p w14:paraId="6C51358B">
      <w:pPr>
        <w:pStyle w:val="12"/>
        <w:rPr>
          <w:sz w:val="72"/>
          <w:szCs w:val="72"/>
        </w:rPr>
      </w:pPr>
    </w:p>
    <w:p w14:paraId="578EB6D2">
      <w:pPr>
        <w:pStyle w:val="12"/>
        <w:jc w:val="center"/>
        <w:rPr>
          <w:sz w:val="72"/>
          <w:szCs w:val="72"/>
        </w:rPr>
      </w:pPr>
    </w:p>
    <w:p w14:paraId="2514B55C">
      <w:pPr>
        <w:pStyle w:val="12"/>
        <w:jc w:val="center"/>
        <w:rPr>
          <w:rFonts w:hint="eastAsia" w:ascii="方正小标宋_GBK" w:hAnsi="方正小标宋_GBK" w:eastAsia="方正小标宋_GBK" w:cs="方正小标宋_GBK"/>
          <w:sz w:val="72"/>
          <w:szCs w:val="72"/>
        </w:rPr>
      </w:pPr>
    </w:p>
    <w:p w14:paraId="1240026A">
      <w:pPr>
        <w:pStyle w:val="12"/>
        <w:jc w:val="center"/>
        <w:rPr>
          <w:rFonts w:hint="eastAsia" w:ascii="方正小标宋_GBK" w:hAnsi="方正小标宋_GBK" w:eastAsia="方正小标宋_GBK" w:cs="方正小标宋_GBK"/>
          <w:sz w:val="72"/>
          <w:szCs w:val="72"/>
        </w:rPr>
      </w:pPr>
    </w:p>
    <w:p w14:paraId="1993156E">
      <w:pPr>
        <w:pStyle w:val="12"/>
        <w:jc w:val="center"/>
        <w:rPr>
          <w:rFonts w:hint="eastAsia" w:ascii="方正小标宋_GBK" w:hAnsi="方正小标宋_GBK" w:eastAsia="方正小标宋_GBK" w:cs="方正小标宋_GBK"/>
          <w:sz w:val="72"/>
          <w:szCs w:val="72"/>
        </w:rPr>
      </w:pPr>
    </w:p>
    <w:p w14:paraId="289FC63C">
      <w:pPr>
        <w:pStyle w:val="12"/>
        <w:jc w:val="center"/>
        <w:rPr>
          <w:rFonts w:hint="eastAsia" w:ascii="方正小标宋_GBK" w:hAnsi="方正小标宋_GBK" w:eastAsia="方正小标宋_GBK" w:cs="方正小标宋_GBK"/>
          <w:sz w:val="72"/>
          <w:szCs w:val="72"/>
        </w:rPr>
      </w:pPr>
    </w:p>
    <w:p w14:paraId="4289361F">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0C9639A">
      <w:pPr>
        <w:pStyle w:val="12"/>
        <w:jc w:val="center"/>
        <w:rPr>
          <w:rFonts w:hint="eastAsia" w:ascii="方正小标宋_GBK" w:hAnsi="方正小标宋_GBK" w:eastAsia="方正小标宋_GBK" w:cs="方正小标宋_GBK"/>
          <w:sz w:val="70"/>
          <w:szCs w:val="70"/>
        </w:rPr>
      </w:pPr>
    </w:p>
    <w:p w14:paraId="586AA431">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057BC110">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C51E2E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13AAE5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年度收、支总计5465.09万元。与上年相比，减少2103.57万元，增长减少27.79%，主要是因为2023年特设专户收入减少，三峡后续工作已经结束</w:t>
      </w:r>
      <w:r>
        <w:rPr>
          <w:rFonts w:hint="eastAsia" w:ascii="Times New Roman" w:hAnsi="Times New Roman" w:eastAsia="仿宋_GB2312"/>
          <w:sz w:val="32"/>
          <w:szCs w:val="32"/>
          <w:lang w:eastAsia="zh-CN"/>
        </w:rPr>
        <w:t>。</w:t>
      </w:r>
    </w:p>
    <w:p w14:paraId="44E4CB0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6DD816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年度收入合计2732.54万元，其中：一般公共预算拨款收入2395.37万元，占本年总收入87.66%；政府性基金预算财政拨款收入159.56万元，占本年总收入5.84%；其他收入177.62万元，占本年总收入6.5%。</w:t>
      </w:r>
    </w:p>
    <w:p w14:paraId="4DE788D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C9D661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年度支出合计2732.54万元，其中：基本支出1344.94万元，占本年总支出49.22%。项目支出1387.6万元，占本年总支出50.78%。</w:t>
      </w:r>
    </w:p>
    <w:p w14:paraId="69EB9A8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010DC56">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年度财政拨款收、支总计5109.85万元，与上年相比，增加（减少）</w:t>
      </w:r>
      <w:r>
        <w:rPr>
          <w:rFonts w:hint="eastAsia" w:ascii="Times New Roman" w:hAnsi="Times New Roman" w:eastAsia="仿宋_GB2312"/>
          <w:sz w:val="32"/>
          <w:szCs w:val="32"/>
          <w:lang w:val="en-US" w:eastAsia="zh-CN"/>
        </w:rPr>
        <w:t>2034.45</w:t>
      </w:r>
      <w:r>
        <w:rPr>
          <w:rFonts w:hint="eastAsia" w:ascii="Times New Roman" w:hAnsi="Times New Roman" w:eastAsia="仿宋_GB2312"/>
          <w:sz w:val="32"/>
          <w:szCs w:val="32"/>
        </w:rPr>
        <w:t>万元,增长（减少）39.81%，主要是因为特设专户收入减少，三峡后续工作已经结束。</w:t>
      </w:r>
    </w:p>
    <w:p w14:paraId="558F0E1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0B29EB3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5FB67ED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年度财政拨款支出2554.93万元，占本年支出合计的93.5%，与上年相比，财政拨款支出减少1017.22万元，减少</w:t>
      </w:r>
      <w:r>
        <w:rPr>
          <w:rFonts w:hint="eastAsia" w:ascii="Times New Roman" w:hAnsi="Times New Roman" w:eastAsia="仿宋_GB2312"/>
          <w:sz w:val="32"/>
          <w:szCs w:val="32"/>
          <w:lang w:val="en-US" w:eastAsia="zh-CN"/>
        </w:rPr>
        <w:t>31.21</w:t>
      </w:r>
      <w:r>
        <w:rPr>
          <w:rFonts w:hint="eastAsia" w:ascii="Times New Roman" w:hAnsi="Times New Roman" w:eastAsia="仿宋_GB2312"/>
          <w:sz w:val="32"/>
          <w:szCs w:val="32"/>
        </w:rPr>
        <w:t>%，主要是因为三峡后续工作已经结束。</w:t>
      </w:r>
    </w:p>
    <w:p w14:paraId="77E5C6BA">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56D108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年度财政拨款支出2395.37万元，主要用于以下方面：一般公共服务支出10万元, 占本年支出的0.42%；社会保障和就业支出24.84万元，占本年支出的1.04%；卫生健康支出1.65万元，占本年支出的0.07%；节能环保支出39.08万元，占本年支出的1.63%；农林水支出1754.34万元，占本年支出的73.24%；交通运输支出20万元，占本年支出的0.83%；自然资源海洋气象等支出471.85万元，占本年支出的19.70%；住房保障支出73.62万元，占本年支出的3.07%。</w:t>
      </w:r>
    </w:p>
    <w:p w14:paraId="066F872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67C1476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年度财政拨款支出年初预算数为1180.94万元，支出决算数为2395.37万元，完成年初预算的202.84%，支出决算大于年初预算的主要原因是增加了项目资金。其中：</w:t>
      </w:r>
    </w:p>
    <w:p w14:paraId="4972567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按经济分类：工资福利支出958.07万元，商品和服务支出1372.58万元，对个人和家庭的补助54.33万元，资本性支出10.39万元</w:t>
      </w:r>
      <w:r>
        <w:rPr>
          <w:rFonts w:hint="eastAsia" w:ascii="Times New Roman" w:hAnsi="Times New Roman" w:eastAsia="仿宋_GB2312"/>
          <w:sz w:val="32"/>
          <w:szCs w:val="32"/>
          <w:lang w:eastAsia="zh-CN"/>
        </w:rPr>
        <w:t>。</w:t>
      </w:r>
    </w:p>
    <w:p w14:paraId="62DF726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60403FE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年度财政拨款基本支出1188.55万元，其中：</w:t>
      </w:r>
    </w:p>
    <w:p w14:paraId="7EA0378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人员经费1012.4万元，主要包括：按国家规定支出的基本工资422.11万元、津贴补贴160.78万元、奖金15.38万元、伙食补助费29.88万元、绩效工资87.55万元、机关事业单位基本养老保险缴费89.6万元、职工医疗保险缴费41.36万元、住房公积金74.85万元、其他社会保障缴费5.27万元、其他工资福利支出31.29万元；</w:t>
      </w:r>
    </w:p>
    <w:p w14:paraId="7D7560F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sz w:val="32"/>
          <w:szCs w:val="32"/>
        </w:rPr>
        <w:t>公用经费176.14万元，主要包括：办公费7.94万元、印刷费14.78万元、水费2.38万元、电费13.6万元、邮电费0.4万元、物业管理费6.6万元、差旅费69.75万元、培训费1.26万元、公务接待费3.70万元、工会经费60.29万元、公务车运行维护费1.26万元</w:t>
      </w:r>
      <w:r>
        <w:rPr>
          <w:rFonts w:hint="eastAsia" w:ascii="Times New Roman" w:hAnsi="Times New Roman" w:eastAsia="仿宋_GB2312"/>
          <w:sz w:val="32"/>
          <w:szCs w:val="32"/>
          <w:lang w:eastAsia="zh-CN"/>
        </w:rPr>
        <w:t>。</w:t>
      </w:r>
    </w:p>
    <w:p w14:paraId="7F13D55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574974F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6514DAE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“三公”经费财政拨款支出预算为19.41万元，支出决算为19.41万元，完成预算的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023年“三公”经费决算比2022年增加14.98万元，原因是工作需要购置公务用车一台。</w:t>
      </w:r>
    </w:p>
    <w:p w14:paraId="06057F2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1DB9DEE9">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2023年度“三公”经费财政拨款支出决算中，公务接待费决算数为3.70万元，占19.06%。公务用车购置及运行维护费15.71万元，占80.94%。2023年“三公”经费决算比2022年增加14.98万元，原因是工作需要购置公务用车一台。</w:t>
      </w:r>
    </w:p>
    <w:p w14:paraId="6B22FDA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0D4A7D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2023年政府性基金年收入159.56万元,2022年政府性基金本年收入313.14元,比上年减少153.58万元，原因是</w:t>
      </w:r>
      <w:r>
        <w:rPr>
          <w:rFonts w:hint="eastAsia" w:ascii="Times New Roman" w:hAnsi="Times New Roman" w:eastAsia="仿宋_GB2312"/>
          <w:sz w:val="32"/>
          <w:szCs w:val="32"/>
          <w:lang w:val="zh-CN"/>
        </w:rPr>
        <w:t>三峡后续工作已经结束</w:t>
      </w:r>
      <w:r>
        <w:rPr>
          <w:rFonts w:hint="eastAsia" w:ascii="Times New Roman" w:hAnsi="Times New Roman" w:eastAsia="仿宋_GB2312"/>
          <w:sz w:val="32"/>
          <w:szCs w:val="32"/>
        </w:rPr>
        <w:t>。</w:t>
      </w:r>
    </w:p>
    <w:p w14:paraId="2F322F1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CD6BCD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186.65</w:t>
      </w:r>
      <w:r>
        <w:rPr>
          <w:rFonts w:hint="eastAsia" w:ascii="Times New Roman" w:hAnsi="Times New Roman" w:eastAsia="仿宋_GB2312"/>
          <w:sz w:val="32"/>
          <w:szCs w:val="32"/>
        </w:rPr>
        <w:t>万元，主要原因是：2013-2015年节日慰问补发及调资。</w:t>
      </w:r>
    </w:p>
    <w:p w14:paraId="4F43144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3D95E34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1.26</w:t>
      </w:r>
      <w:r>
        <w:rPr>
          <w:rFonts w:hint="eastAsia" w:ascii="Times New Roman" w:hAnsi="Times New Roman" w:eastAsia="仿宋_GB2312"/>
          <w:sz w:val="32"/>
          <w:szCs w:val="32"/>
        </w:rPr>
        <w:t>万元，用于开展</w:t>
      </w:r>
      <w:r>
        <w:rPr>
          <w:rFonts w:hint="eastAsia" w:ascii="仿宋" w:hAnsi="仿宋" w:eastAsia="仿宋"/>
          <w:sz w:val="32"/>
          <w:szCs w:val="32"/>
        </w:rPr>
        <w:t>继续教育</w:t>
      </w:r>
      <w:r>
        <w:rPr>
          <w:rFonts w:hint="eastAsia" w:ascii="Times New Roman" w:hAnsi="Times New Roman" w:eastAsia="仿宋_GB2312"/>
          <w:sz w:val="32"/>
          <w:szCs w:val="32"/>
        </w:rPr>
        <w:t>培训。</w:t>
      </w:r>
    </w:p>
    <w:p w14:paraId="7B54245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F50355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291.6</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183.8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107.8</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107.8</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36.97</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107.8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7E9D139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19666E65">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其他用车</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eastAsia="zh-CN"/>
        </w:rPr>
        <w:t>森林防火专用车</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74C7ED8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0B813ED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45808C1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按照《</w:t>
      </w:r>
      <w:r>
        <w:rPr>
          <w:rFonts w:hint="eastAsia" w:ascii="Times New Roman" w:hAnsi="Times New Roman" w:eastAsia="仿宋_GB2312"/>
          <w:sz w:val="32"/>
          <w:szCs w:val="32"/>
          <w:lang w:eastAsia="zh-CN"/>
        </w:rPr>
        <w:t>沅江市财政局关于开展</w:t>
      </w:r>
      <w:r>
        <w:rPr>
          <w:rFonts w:hint="eastAsia" w:ascii="Times New Roman" w:hAnsi="Times New Roman" w:eastAsia="仿宋_GB2312"/>
          <w:sz w:val="32"/>
          <w:szCs w:val="32"/>
          <w:lang w:val="en-US" w:eastAsia="zh-CN"/>
        </w:rPr>
        <w:t>2023年度预算部门支出绩效自评</w:t>
      </w:r>
      <w:r>
        <w:rPr>
          <w:rFonts w:hint="eastAsia" w:ascii="Times New Roman" w:hAnsi="Times New Roman" w:eastAsia="仿宋_GB2312"/>
          <w:sz w:val="32"/>
          <w:szCs w:val="32"/>
        </w:rPr>
        <w:t>的通知》文件要求，我局积极组织，对202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年度部门预算绩效开展了自评。</w:t>
      </w:r>
    </w:p>
    <w:p w14:paraId="619B65A4">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86D06E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仿宋" w:hAnsi="仿宋" w:eastAsia="仿宋"/>
          <w:b/>
          <w:sz w:val="32"/>
          <w:szCs w:val="32"/>
        </w:rPr>
        <w:t>项目实施情况</w:t>
      </w:r>
    </w:p>
    <w:p w14:paraId="7D8CF2AD">
      <w:pPr>
        <w:ind w:firstLine="640" w:firstLineChars="200"/>
        <w:rPr>
          <w:rFonts w:hint="eastAsia" w:ascii="Times New Roman" w:hAnsi="Times New Roman" w:eastAsia="仿宋_GB2312"/>
          <w:sz w:val="32"/>
          <w:szCs w:val="32"/>
        </w:rPr>
      </w:pPr>
      <w:r>
        <w:rPr>
          <w:rFonts w:hint="eastAsia" w:ascii="仿宋" w:hAnsi="仿宋" w:eastAsia="仿宋"/>
          <w:sz w:val="32"/>
          <w:szCs w:val="32"/>
        </w:rPr>
        <w:t>在专项资金使用上，我们严格按照财政预算内容和有关要求，将资金用在病虫害防治的工作衔接上。使用过程中，严格按国库集中支付的要求，完善了报帐手续，做到资金使用合规，审批手续到位，资料符合要求。</w:t>
      </w:r>
    </w:p>
    <w:p w14:paraId="1F84368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w:t>
      </w:r>
      <w:r>
        <w:rPr>
          <w:rFonts w:hint="eastAsia" w:ascii="仿宋" w:hAnsi="仿宋" w:eastAsia="仿宋"/>
          <w:b/>
          <w:sz w:val="32"/>
          <w:szCs w:val="32"/>
        </w:rPr>
        <w:t>项目绩效情况分析</w:t>
      </w:r>
    </w:p>
    <w:p w14:paraId="42D0C1FC">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lang w:eastAsia="zh-CN"/>
        </w:rPr>
        <w:t>林业执法工作经费</w:t>
      </w:r>
      <w:r>
        <w:rPr>
          <w:rFonts w:hint="eastAsia" w:ascii="仿宋" w:hAnsi="仿宋" w:eastAsia="仿宋" w:cs="宋体"/>
          <w:color w:val="000000"/>
          <w:kern w:val="0"/>
          <w:sz w:val="32"/>
          <w:szCs w:val="32"/>
        </w:rPr>
        <w:t>项目绩效评价：项目金额</w:t>
      </w:r>
      <w:r>
        <w:rPr>
          <w:rFonts w:hint="eastAsia" w:ascii="仿宋" w:hAnsi="仿宋" w:eastAsia="仿宋" w:cs="宋体"/>
          <w:color w:val="000000"/>
          <w:kern w:val="0"/>
          <w:sz w:val="32"/>
          <w:szCs w:val="32"/>
          <w:lang w:val="en-US" w:eastAsia="zh-CN"/>
        </w:rPr>
        <w:t>16</w:t>
      </w:r>
      <w:r>
        <w:rPr>
          <w:rFonts w:hint="eastAsia" w:ascii="仿宋" w:hAnsi="仿宋" w:eastAsia="仿宋" w:cs="宋体"/>
          <w:color w:val="000000"/>
          <w:kern w:val="0"/>
          <w:sz w:val="32"/>
          <w:szCs w:val="32"/>
        </w:rPr>
        <w:t>万元，完成目标，达到成效。</w:t>
      </w:r>
    </w:p>
    <w:p w14:paraId="47CA8EB9">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病虫害防治项目绩效评价：项目金额4万元，完成目标，达到成效。</w:t>
      </w:r>
    </w:p>
    <w:p w14:paraId="3514552A">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古树名木保护项目绩效评价：项目金额8万元，完成目标，达到成效。</w:t>
      </w:r>
    </w:p>
    <w:p w14:paraId="6EB3E015">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野生动植物保护项目绩效评价：项目金额4万元，完成目标，达到成效。</w:t>
      </w:r>
    </w:p>
    <w:p w14:paraId="43551535">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森林防火项目绩效评价：项目金额</w:t>
      </w:r>
      <w:r>
        <w:rPr>
          <w:rFonts w:hint="eastAsia" w:ascii="仿宋" w:hAnsi="仿宋" w:eastAsia="仿宋" w:cs="宋体"/>
          <w:color w:val="000000"/>
          <w:kern w:val="0"/>
          <w:sz w:val="32"/>
          <w:szCs w:val="32"/>
          <w:lang w:val="en-US" w:eastAsia="zh-CN"/>
        </w:rPr>
        <w:t>4</w:t>
      </w:r>
      <w:r>
        <w:rPr>
          <w:rFonts w:hint="eastAsia" w:ascii="仿宋" w:hAnsi="仿宋" w:eastAsia="仿宋" w:cs="宋体"/>
          <w:color w:val="000000"/>
          <w:kern w:val="0"/>
          <w:sz w:val="32"/>
          <w:szCs w:val="32"/>
        </w:rPr>
        <w:t>万元，完成目标，达到成效。</w:t>
      </w:r>
    </w:p>
    <w:p w14:paraId="387D88EE">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龙虎山林场改革项目绩效评价：项目金额</w:t>
      </w:r>
      <w:r>
        <w:rPr>
          <w:rFonts w:hint="eastAsia" w:ascii="仿宋" w:hAnsi="仿宋" w:eastAsia="仿宋" w:cs="宋体"/>
          <w:color w:val="000000"/>
          <w:kern w:val="0"/>
          <w:sz w:val="32"/>
          <w:szCs w:val="32"/>
          <w:lang w:val="en-US" w:eastAsia="zh-CN"/>
        </w:rPr>
        <w:t>142.4</w:t>
      </w:r>
      <w:r>
        <w:rPr>
          <w:rFonts w:hint="eastAsia" w:ascii="仿宋" w:hAnsi="仿宋" w:eastAsia="仿宋" w:cs="宋体"/>
          <w:color w:val="000000"/>
          <w:kern w:val="0"/>
          <w:sz w:val="32"/>
          <w:szCs w:val="32"/>
        </w:rPr>
        <w:t>万元，完成目标，达到成效。</w:t>
      </w:r>
    </w:p>
    <w:p w14:paraId="4D9B9D0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lang w:eastAsia="zh-CN"/>
        </w:rPr>
      </w:pPr>
      <w:r>
        <w:rPr>
          <w:rFonts w:hint="eastAsia" w:ascii="仿宋" w:hAnsi="仿宋" w:eastAsia="仿宋" w:cs="宋体"/>
          <w:color w:val="000000"/>
          <w:kern w:val="0"/>
          <w:sz w:val="32"/>
          <w:szCs w:val="32"/>
        </w:rPr>
        <w:t>林长制工作经费项目绩效评价：项目金额</w:t>
      </w:r>
      <w:r>
        <w:rPr>
          <w:rFonts w:hint="eastAsia" w:ascii="仿宋" w:hAnsi="仿宋" w:eastAsia="仿宋" w:cs="宋体"/>
          <w:color w:val="000000"/>
          <w:kern w:val="0"/>
          <w:sz w:val="32"/>
          <w:szCs w:val="32"/>
          <w:lang w:val="en-US" w:eastAsia="zh-CN"/>
        </w:rPr>
        <w:t>16</w:t>
      </w:r>
      <w:r>
        <w:rPr>
          <w:rFonts w:hint="eastAsia" w:ascii="仿宋" w:hAnsi="仿宋" w:eastAsia="仿宋" w:cs="宋体"/>
          <w:color w:val="000000"/>
          <w:kern w:val="0"/>
          <w:sz w:val="32"/>
          <w:szCs w:val="32"/>
        </w:rPr>
        <w:t>万元，完成目标，达到成效。</w:t>
      </w:r>
    </w:p>
    <w:p w14:paraId="4083DB0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5FC8CC5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无</w:t>
      </w:r>
      <w:r>
        <w:rPr>
          <w:rFonts w:hint="eastAsia" w:ascii="Times New Roman" w:hAnsi="Times New Roman" w:eastAsia="仿宋_GB2312"/>
          <w:sz w:val="32"/>
          <w:szCs w:val="32"/>
        </w:rPr>
        <w:t>。</w:t>
      </w:r>
    </w:p>
    <w:p w14:paraId="2CF1BFB0">
      <w:pPr>
        <w:pStyle w:val="12"/>
        <w:jc w:val="both"/>
        <w:rPr>
          <w:sz w:val="72"/>
          <w:szCs w:val="72"/>
        </w:rPr>
      </w:pPr>
    </w:p>
    <w:p w14:paraId="009FA9C8">
      <w:pPr>
        <w:pStyle w:val="12"/>
        <w:jc w:val="center"/>
        <w:rPr>
          <w:sz w:val="72"/>
          <w:szCs w:val="72"/>
        </w:rPr>
      </w:pPr>
    </w:p>
    <w:p w14:paraId="7F652859">
      <w:pPr>
        <w:pStyle w:val="12"/>
        <w:jc w:val="center"/>
        <w:rPr>
          <w:sz w:val="72"/>
          <w:szCs w:val="72"/>
        </w:rPr>
      </w:pPr>
    </w:p>
    <w:p w14:paraId="41100C45">
      <w:pPr>
        <w:pStyle w:val="12"/>
        <w:jc w:val="both"/>
        <w:rPr>
          <w:rFonts w:hint="eastAsia" w:ascii="方正小标宋_GBK" w:hAnsi="方正小标宋_GBK" w:eastAsia="方正小标宋_GBK" w:cs="方正小标宋_GBK"/>
          <w:sz w:val="72"/>
          <w:szCs w:val="72"/>
        </w:rPr>
      </w:pPr>
    </w:p>
    <w:p w14:paraId="64BFAF27">
      <w:pPr>
        <w:pStyle w:val="12"/>
        <w:jc w:val="center"/>
        <w:rPr>
          <w:rFonts w:hint="eastAsia" w:ascii="方正小标宋_GBK" w:hAnsi="方正小标宋_GBK" w:eastAsia="方正小标宋_GBK" w:cs="方正小标宋_GBK"/>
          <w:sz w:val="72"/>
          <w:szCs w:val="72"/>
        </w:rPr>
      </w:pPr>
    </w:p>
    <w:p w14:paraId="5A281D3E">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A682B8A">
      <w:pPr>
        <w:jc w:val="center"/>
        <w:rPr>
          <w:rFonts w:hint="eastAsia" w:ascii="方正小标宋_GBK" w:hAnsi="方正小标宋_GBK" w:eastAsia="方正小标宋_GBK" w:cs="方正小标宋_GBK"/>
          <w:color w:val="000000"/>
          <w:kern w:val="0"/>
          <w:sz w:val="70"/>
          <w:szCs w:val="70"/>
        </w:rPr>
      </w:pPr>
    </w:p>
    <w:p w14:paraId="35B36834">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1911932">
      <w:pPr>
        <w:ind w:firstLine="1400" w:firstLineChars="200"/>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18C4A130">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一、基本支出：指为保障机构正常运转、完成日常工作任务而发生的各项支出，包括人员支出和公用支出。</w:t>
      </w:r>
    </w:p>
    <w:p w14:paraId="5B84A961">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二、项目支出：指在基本支出以外为完成相关行政任务和事业发展目标所发生的各项支出。</w:t>
      </w:r>
    </w:p>
    <w:p w14:paraId="7C8791CC">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三、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14:paraId="62025D6F">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14:paraId="61744EA5">
      <w:pPr>
        <w:pStyle w:val="12"/>
        <w:jc w:val="center"/>
        <w:rPr>
          <w:sz w:val="72"/>
          <w:szCs w:val="72"/>
        </w:rPr>
      </w:pPr>
    </w:p>
    <w:p w14:paraId="6FA70BA2">
      <w:pPr>
        <w:pStyle w:val="12"/>
        <w:jc w:val="center"/>
        <w:rPr>
          <w:sz w:val="72"/>
          <w:szCs w:val="72"/>
        </w:rPr>
      </w:pPr>
    </w:p>
    <w:p w14:paraId="46B4F7ED">
      <w:pPr>
        <w:pStyle w:val="12"/>
        <w:jc w:val="center"/>
        <w:rPr>
          <w:sz w:val="72"/>
          <w:szCs w:val="72"/>
        </w:rPr>
      </w:pPr>
    </w:p>
    <w:p w14:paraId="3020BF91">
      <w:pPr>
        <w:pStyle w:val="12"/>
        <w:jc w:val="center"/>
        <w:rPr>
          <w:sz w:val="72"/>
          <w:szCs w:val="72"/>
        </w:rPr>
      </w:pPr>
    </w:p>
    <w:p w14:paraId="5BABABCB">
      <w:pPr>
        <w:pStyle w:val="12"/>
        <w:jc w:val="center"/>
        <w:rPr>
          <w:sz w:val="72"/>
          <w:szCs w:val="72"/>
        </w:rPr>
      </w:pPr>
    </w:p>
    <w:p w14:paraId="55704606">
      <w:pPr>
        <w:pStyle w:val="12"/>
        <w:jc w:val="center"/>
        <w:rPr>
          <w:rFonts w:hint="eastAsia" w:ascii="方正小标宋_GBK" w:hAnsi="方正小标宋_GBK" w:eastAsia="方正小标宋_GBK" w:cs="方正小标宋_GBK"/>
          <w:sz w:val="72"/>
          <w:szCs w:val="72"/>
        </w:rPr>
      </w:pPr>
    </w:p>
    <w:p w14:paraId="10C02A8D">
      <w:pPr>
        <w:pStyle w:val="12"/>
        <w:jc w:val="center"/>
        <w:rPr>
          <w:rFonts w:hint="eastAsia" w:ascii="方正小标宋_GBK" w:hAnsi="方正小标宋_GBK" w:eastAsia="方正小标宋_GBK" w:cs="方正小标宋_GBK"/>
          <w:sz w:val="72"/>
          <w:szCs w:val="72"/>
        </w:rPr>
      </w:pPr>
    </w:p>
    <w:p w14:paraId="32A28A20">
      <w:pPr>
        <w:pStyle w:val="12"/>
        <w:jc w:val="center"/>
        <w:rPr>
          <w:rFonts w:hint="eastAsia" w:ascii="方正小标宋_GBK" w:hAnsi="方正小标宋_GBK" w:eastAsia="方正小标宋_GBK" w:cs="方正小标宋_GBK"/>
          <w:sz w:val="72"/>
          <w:szCs w:val="72"/>
        </w:rPr>
      </w:pPr>
    </w:p>
    <w:p w14:paraId="768E1DB3">
      <w:pPr>
        <w:pStyle w:val="12"/>
        <w:jc w:val="center"/>
        <w:rPr>
          <w:rFonts w:hint="eastAsia" w:ascii="方正小标宋_GBK" w:hAnsi="方正小标宋_GBK" w:eastAsia="方正小标宋_GBK" w:cs="方正小标宋_GBK"/>
          <w:sz w:val="72"/>
          <w:szCs w:val="72"/>
        </w:rPr>
      </w:pPr>
    </w:p>
    <w:p w14:paraId="5AEDB5C2">
      <w:pPr>
        <w:pStyle w:val="12"/>
        <w:jc w:val="center"/>
        <w:rPr>
          <w:rFonts w:hint="eastAsia" w:ascii="方正小标宋_GBK" w:hAnsi="方正小标宋_GBK" w:eastAsia="方正小标宋_GBK" w:cs="方正小标宋_GBK"/>
          <w:sz w:val="72"/>
          <w:szCs w:val="72"/>
        </w:rPr>
      </w:pPr>
    </w:p>
    <w:p w14:paraId="0C90E100">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2BDF1417">
      <w:pPr>
        <w:pStyle w:val="12"/>
        <w:jc w:val="center"/>
        <w:rPr>
          <w:rFonts w:hint="eastAsia" w:ascii="方正小标宋_GBK" w:hAnsi="方正小标宋_GBK" w:eastAsia="方正小标宋_GBK" w:cs="方正小标宋_GBK"/>
          <w:sz w:val="70"/>
          <w:szCs w:val="70"/>
        </w:rPr>
      </w:pPr>
    </w:p>
    <w:p w14:paraId="698EABE4">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76919ED3">
      <w:pPr>
        <w:rPr>
          <w:sz w:val="72"/>
          <w:szCs w:val="72"/>
        </w:rPr>
      </w:pPr>
      <w:r>
        <w:rPr>
          <w:sz w:val="72"/>
          <w:szCs w:val="72"/>
        </w:rPr>
        <w:br w:type="page"/>
      </w:r>
    </w:p>
    <w:p w14:paraId="608DA83C">
      <w:pPr>
        <w:spacing w:line="600" w:lineRule="exact"/>
        <w:jc w:val="center"/>
        <w:rPr>
          <w:rFonts w:hint="eastAsia" w:eastAsia="黑体"/>
          <w:sz w:val="44"/>
          <w:szCs w:val="44"/>
        </w:rPr>
      </w:pPr>
      <w:bookmarkStart w:id="2" w:name="_GoBack"/>
      <w:bookmarkEnd w:id="2"/>
      <w:r>
        <w:rPr>
          <w:rFonts w:hint="eastAsia" w:eastAsia="黑体"/>
          <w:sz w:val="44"/>
          <w:szCs w:val="44"/>
        </w:rPr>
        <w:t>2023年度沅江市林业局整体支出</w:t>
      </w:r>
    </w:p>
    <w:p w14:paraId="0ABEBA74">
      <w:pPr>
        <w:jc w:val="center"/>
        <w:rPr>
          <w:rFonts w:eastAsia="黑体"/>
          <w:sz w:val="44"/>
          <w:szCs w:val="44"/>
        </w:rPr>
      </w:pPr>
      <w:r>
        <w:rPr>
          <w:rFonts w:hint="eastAsia" w:eastAsia="黑体"/>
          <w:sz w:val="44"/>
          <w:szCs w:val="44"/>
        </w:rPr>
        <w:t>绩效自评报告</w:t>
      </w:r>
    </w:p>
    <w:p w14:paraId="1F771B63">
      <w:pPr>
        <w:spacing w:line="600" w:lineRule="exact"/>
        <w:rPr>
          <w:rFonts w:eastAsia="黑体"/>
          <w:sz w:val="32"/>
          <w:szCs w:val="32"/>
        </w:rPr>
      </w:pPr>
    </w:p>
    <w:p w14:paraId="11DC651C">
      <w:pPr>
        <w:numPr>
          <w:ilvl w:val="0"/>
          <w:numId w:val="2"/>
        </w:numPr>
        <w:spacing w:line="600" w:lineRule="exact"/>
        <w:ind w:firstLine="627" w:firstLineChars="196"/>
        <w:rPr>
          <w:rFonts w:eastAsia="黑体"/>
          <w:sz w:val="32"/>
          <w:szCs w:val="32"/>
        </w:rPr>
      </w:pPr>
      <w:r>
        <w:rPr>
          <w:rFonts w:hint="eastAsia" w:eastAsia="黑体"/>
          <w:sz w:val="32"/>
          <w:szCs w:val="32"/>
        </w:rPr>
        <w:t>部门（单位）</w:t>
      </w:r>
      <w:r>
        <w:rPr>
          <w:rFonts w:eastAsia="黑体"/>
          <w:sz w:val="32"/>
          <w:szCs w:val="32"/>
        </w:rPr>
        <w:t>基本情况</w:t>
      </w:r>
    </w:p>
    <w:p w14:paraId="2C03F856">
      <w:pPr>
        <w:numPr>
          <w:ilvl w:val="0"/>
          <w:numId w:val="3"/>
        </w:numPr>
        <w:spacing w:line="600" w:lineRule="exact"/>
        <w:ind w:firstLine="640" w:firstLineChars="200"/>
        <w:rPr>
          <w:rFonts w:hint="eastAsia" w:ascii="楷体" w:hAnsi="楷体" w:eastAsia="楷体" w:cs="楷体"/>
          <w:kern w:val="0"/>
          <w:sz w:val="32"/>
          <w:szCs w:val="32"/>
        </w:rPr>
      </w:pPr>
      <w:r>
        <w:rPr>
          <w:rFonts w:hint="eastAsia" w:ascii="楷体" w:hAnsi="楷体" w:eastAsia="楷体" w:cs="楷体"/>
          <w:kern w:val="0"/>
          <w:sz w:val="32"/>
          <w:szCs w:val="32"/>
        </w:rPr>
        <w:t>2023年度重点工作</w:t>
      </w:r>
    </w:p>
    <w:p w14:paraId="4AEFECC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1.全面加强党的建设。开展好学习贯彻习近平新时代中国特色社会主义思想主题教育，抓班子、强队伍，以党建统揽林业工作全局。开展党组中心组学习12次，开展4次党风廉政建设教育，严格执行中央八项规定。</w:t>
      </w:r>
    </w:p>
    <w:p w14:paraId="55B9CE3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2.推深做实林长制。调整优化了三级林长组织体系、责任体系，夯实“三长四员”网格化管护体系，全市共划分199个管护网格，各级林长（督察长、警长）开展巡林巡湿6660人次，护林员巡林巡湿4.1万余人次。</w:t>
      </w:r>
    </w:p>
    <w:p w14:paraId="4DF8D7D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切实加强生态保护。开展自然保护地巡护160余次，持续开展森林防火基础设施建设两年行动和油茶产业发展三年行动，持续巩固松材线虫病治理成果，启动杨树有害生物及东方田鼠湿地灾害防治工作，严厉打击破坏林草湿资源违法行为，推进全市152株古树名木保护管理工作常态化，以生态鸟廊建设为重点，加强生物多样性保护，积极开展湿地、候鸟等野生动物保护宣传与巡护。</w:t>
      </w:r>
    </w:p>
    <w:p w14:paraId="0BA04C5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扎实开展生态修复。大力开展生态廊道建设，实施山水林田湖草沙一体化保护修复项目——大通湖湖体及湖泊缓冲带生态修复（沅江市）和湖南琼湖国家湿地公园保护修复项目，修复湿地面积530公顷。有序推进欧美黑杨清退，清退28340亩，加强巡查监管，严禁保护区内新植欧美黑杨。</w:t>
      </w:r>
    </w:p>
    <w:p w14:paraId="0F0B756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加速推进绿色发展。积极与上级部门对接项目，以项目为载体，促推林业高质量发展。鼓励发展林下种植、林下养殖、森林旅游等林下经济，以胭脂湖先锋村花卉苗木基地为引领，打造全市花卉苗木产供销一体化产业集群，持续开展2023年林草湿图斑监测工作，严格林地用途管制，规范森林采伐限额管理。</w:t>
      </w:r>
    </w:p>
    <w:p w14:paraId="0DA19418">
      <w:pPr>
        <w:spacing w:line="600" w:lineRule="exact"/>
        <w:ind w:firstLine="627" w:firstLineChars="196"/>
        <w:rPr>
          <w:rFonts w:hint="eastAsia" w:ascii="楷体" w:hAnsi="楷体" w:eastAsia="楷体" w:cs="楷体"/>
          <w:kern w:val="0"/>
          <w:sz w:val="32"/>
          <w:szCs w:val="32"/>
        </w:rPr>
      </w:pPr>
      <w:r>
        <w:rPr>
          <w:rFonts w:hint="eastAsia" w:ascii="楷体" w:hAnsi="楷体" w:eastAsia="楷体" w:cs="楷体"/>
          <w:kern w:val="0"/>
          <w:sz w:val="32"/>
          <w:szCs w:val="32"/>
        </w:rPr>
        <w:t>（二）部门整体支出规模、使用方向、主要内容和涉及范围。</w:t>
      </w:r>
    </w:p>
    <w:p w14:paraId="72AE580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本年支出合计2732.54万元，其中：基本支出1344.94万元，占本年总支出49.22%。项目支出1387.6万元，占本年总支出50.78%。</w:t>
      </w:r>
    </w:p>
    <w:p w14:paraId="788F586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按经济分类支出：工资福利支出967.6万元，商品和服务支出1659.17万元，对个人和家庭的补助61.37万元，资本性支出44.38万元。</w:t>
      </w:r>
    </w:p>
    <w:p w14:paraId="61A74330">
      <w:pPr>
        <w:pStyle w:val="13"/>
        <w:spacing w:line="600" w:lineRule="exact"/>
        <w:ind w:firstLine="640"/>
        <w:rPr>
          <w:rFonts w:ascii="Times New Roman" w:hAnsi="Times New Roman" w:eastAsia="黑体"/>
          <w:sz w:val="32"/>
          <w:szCs w:val="32"/>
        </w:rPr>
      </w:pPr>
      <w:r>
        <w:rPr>
          <w:rFonts w:ascii="Times New Roman" w:hAnsi="Times New Roman" w:eastAsia="黑体"/>
          <w:sz w:val="32"/>
          <w:szCs w:val="32"/>
        </w:rPr>
        <w:t>二、一般公共预算支出情况</w:t>
      </w:r>
    </w:p>
    <w:p w14:paraId="56070EC1">
      <w:pPr>
        <w:numPr>
          <w:ilvl w:val="0"/>
          <w:numId w:val="4"/>
        </w:numPr>
        <w:spacing w:line="600" w:lineRule="exact"/>
        <w:ind w:firstLine="627" w:firstLineChars="196"/>
        <w:rPr>
          <w:rFonts w:hint="eastAsia" w:ascii="楷体" w:hAnsi="楷体" w:eastAsia="楷体" w:cs="楷体"/>
          <w:kern w:val="0"/>
          <w:sz w:val="32"/>
          <w:szCs w:val="32"/>
        </w:rPr>
      </w:pPr>
      <w:r>
        <w:rPr>
          <w:rFonts w:hint="eastAsia" w:ascii="楷体" w:hAnsi="楷体" w:eastAsia="楷体" w:cs="楷体"/>
          <w:kern w:val="0"/>
          <w:sz w:val="32"/>
          <w:szCs w:val="32"/>
        </w:rPr>
        <w:t>基本支出情况</w:t>
      </w:r>
    </w:p>
    <w:p w14:paraId="243C86E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本支出1344.94万元，主要用于以下方面：死亡抚恤22.34万元，其他林业和草原支出62.21万元，对村民委员会和村党支部的补助2.75万元，其他优抚支出2.5万元，计划生育服务1.65万元，行政运行843.95万元，其他污染防治支出0.3万元，其他农业农村支出55.15万元，住房公积金73.62万元，一般行政管理事务114.01万元，其他政府性基金安排的支出10.5万元，其他支出145.9万元，一般行政管理事务10万元。</w:t>
      </w:r>
    </w:p>
    <w:p w14:paraId="149519F9">
      <w:pPr>
        <w:numPr>
          <w:ilvl w:val="0"/>
          <w:numId w:val="4"/>
        </w:numPr>
        <w:spacing w:line="600" w:lineRule="exact"/>
        <w:ind w:left="0" w:leftChars="0" w:firstLine="627" w:firstLineChars="196"/>
        <w:rPr>
          <w:rFonts w:hint="eastAsia" w:ascii="楷体" w:hAnsi="楷体" w:eastAsia="楷体" w:cs="楷体"/>
          <w:kern w:val="0"/>
          <w:sz w:val="32"/>
          <w:szCs w:val="32"/>
        </w:rPr>
      </w:pPr>
      <w:r>
        <w:rPr>
          <w:rFonts w:hint="eastAsia" w:ascii="楷体" w:hAnsi="楷体" w:eastAsia="楷体" w:cs="楷体"/>
          <w:kern w:val="0"/>
          <w:sz w:val="32"/>
          <w:szCs w:val="32"/>
        </w:rPr>
        <w:t>项目支出情况</w:t>
      </w:r>
    </w:p>
    <w:p w14:paraId="2154CF6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支出1387.6万元，主要用于以下方面：其他林业和草原支出154.22万元，一般行政管理事务308.1万元，其他支出31.72万元，动植物保护11.54万元，森林资源培育60万元，其他环境保护管理事务支出12.28万元，三峡后续工作149.06万元，其他自然资源事务支出471.85万元，其他巩固脱贫攻坚成果衔接乡村振兴支出92万元，其他自然生态保护支出26.5万元，其他交通运输支出20万元，森林生态效益补偿0.33万元，一般行政管理事务50万元。</w:t>
      </w:r>
    </w:p>
    <w:p w14:paraId="42491608">
      <w:pPr>
        <w:pStyle w:val="13"/>
        <w:spacing w:line="600" w:lineRule="exact"/>
        <w:ind w:firstLine="640"/>
        <w:rPr>
          <w:rFonts w:ascii="Times New Roman" w:hAnsi="Times New Roman" w:eastAsia="黑体"/>
          <w:sz w:val="32"/>
          <w:szCs w:val="32"/>
        </w:rPr>
      </w:pPr>
      <w:r>
        <w:rPr>
          <w:rFonts w:ascii="Times New Roman" w:hAnsi="Times New Roman" w:eastAsia="黑体"/>
          <w:sz w:val="32"/>
          <w:szCs w:val="32"/>
        </w:rPr>
        <w:t>三、政府性基金预算支出情况</w:t>
      </w:r>
    </w:p>
    <w:p w14:paraId="1E81074A">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2023年政府性基金年收入159.56万元,2022年政府性基金本年收入313.14元,比上年减少153.58万元，原因是</w:t>
      </w:r>
      <w:r>
        <w:rPr>
          <w:rFonts w:hint="eastAsia" w:ascii="仿宋_GB2312" w:hAnsi="仿宋_GB2312" w:eastAsia="仿宋_GB2312" w:cs="仿宋_GB2312"/>
          <w:sz w:val="32"/>
          <w:szCs w:val="32"/>
          <w:lang w:val="zh-CN" w:eastAsia="zh-CN"/>
        </w:rPr>
        <w:t>三峡后续工作已经结束</w:t>
      </w:r>
      <w:r>
        <w:rPr>
          <w:rFonts w:hint="eastAsia" w:ascii="仿宋_GB2312" w:hAnsi="仿宋_GB2312" w:eastAsia="仿宋_GB2312" w:cs="仿宋_GB2312"/>
          <w:sz w:val="32"/>
          <w:szCs w:val="32"/>
          <w:lang w:val="en-US" w:eastAsia="zh-CN"/>
        </w:rPr>
        <w:t>。</w:t>
      </w:r>
    </w:p>
    <w:p w14:paraId="7B8D0771">
      <w:pPr>
        <w:ind w:firstLine="640" w:firstLineChars="200"/>
        <w:rPr>
          <w:rFonts w:ascii="Times New Roman" w:hAnsi="Times New Roman" w:eastAsia="黑体"/>
          <w:sz w:val="32"/>
          <w:szCs w:val="32"/>
        </w:rPr>
      </w:pPr>
      <w:r>
        <w:rPr>
          <w:rFonts w:hint="eastAsia" w:ascii="仿宋_GB2312" w:eastAsia="仿宋_GB2312"/>
          <w:sz w:val="32"/>
          <w:szCs w:val="32"/>
          <w:highlight w:val="none"/>
        </w:rPr>
        <w:t>其中：按经济分类：商品和服务支出</w:t>
      </w:r>
      <w:r>
        <w:rPr>
          <w:rFonts w:hint="eastAsia" w:ascii="仿宋_GB2312" w:eastAsia="仿宋_GB2312"/>
          <w:sz w:val="32"/>
          <w:szCs w:val="32"/>
          <w:highlight w:val="none"/>
          <w:lang w:val="en-US" w:eastAsia="zh-CN"/>
        </w:rPr>
        <w:t>127.89</w:t>
      </w:r>
      <w:r>
        <w:rPr>
          <w:rFonts w:hint="eastAsia" w:ascii="仿宋_GB2312" w:hAnsi="仿宋_GB2312" w:eastAsia="仿宋_GB2312" w:cs="仿宋_GB2312"/>
          <w:sz w:val="32"/>
          <w:szCs w:val="32"/>
          <w:lang w:val="en-US" w:eastAsia="zh-CN"/>
        </w:rPr>
        <w:t>万</w:t>
      </w:r>
      <w:r>
        <w:rPr>
          <w:rFonts w:hint="eastAsia" w:ascii="仿宋_GB2312" w:eastAsia="仿宋_GB2312"/>
          <w:sz w:val="32"/>
          <w:szCs w:val="32"/>
          <w:highlight w:val="none"/>
        </w:rPr>
        <w:t>元，资本性支出</w:t>
      </w:r>
      <w:r>
        <w:rPr>
          <w:rFonts w:hint="eastAsia" w:ascii="仿宋_GB2312" w:eastAsia="仿宋_GB2312"/>
          <w:sz w:val="32"/>
          <w:szCs w:val="32"/>
          <w:highlight w:val="none"/>
          <w:lang w:val="en-US" w:eastAsia="zh-CN"/>
        </w:rPr>
        <w:t>31.67</w:t>
      </w:r>
      <w:r>
        <w:rPr>
          <w:rFonts w:hint="eastAsia" w:ascii="仿宋_GB2312" w:eastAsia="仿宋_GB2312"/>
          <w:sz w:val="32"/>
          <w:szCs w:val="32"/>
          <w:highlight w:val="none"/>
        </w:rPr>
        <w:t>万元。</w:t>
      </w:r>
    </w:p>
    <w:p w14:paraId="104232B7">
      <w:pPr>
        <w:pStyle w:val="13"/>
        <w:numPr>
          <w:ilvl w:val="0"/>
          <w:numId w:val="5"/>
        </w:numPr>
        <w:spacing w:line="600" w:lineRule="exact"/>
        <w:ind w:firstLine="640"/>
        <w:rPr>
          <w:rFonts w:ascii="Times New Roman" w:hAnsi="Times New Roman" w:eastAsia="黑体"/>
          <w:sz w:val="32"/>
          <w:szCs w:val="32"/>
        </w:rPr>
      </w:pPr>
      <w:r>
        <w:rPr>
          <w:rFonts w:ascii="Times New Roman" w:hAnsi="Times New Roman" w:eastAsia="黑体"/>
          <w:sz w:val="32"/>
          <w:szCs w:val="32"/>
        </w:rPr>
        <w:t>国有资本经营预算支出情况</w:t>
      </w:r>
    </w:p>
    <w:p w14:paraId="7CABD52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无国有资本经营预算支出。</w:t>
      </w:r>
    </w:p>
    <w:p w14:paraId="7114D8BC">
      <w:pPr>
        <w:pStyle w:val="13"/>
        <w:numPr>
          <w:ilvl w:val="0"/>
          <w:numId w:val="5"/>
        </w:numPr>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社会保险基金预算支出情况</w:t>
      </w:r>
    </w:p>
    <w:p w14:paraId="1A6B08D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无社会保险基金预算支出。</w:t>
      </w:r>
    </w:p>
    <w:p w14:paraId="124AFBDA">
      <w:pPr>
        <w:pStyle w:val="13"/>
        <w:numPr>
          <w:ilvl w:val="0"/>
          <w:numId w:val="0"/>
        </w:numPr>
        <w:spacing w:line="600" w:lineRule="exact"/>
        <w:ind w:leftChars="200"/>
        <w:rPr>
          <w:rFonts w:ascii="Times New Roman" w:hAnsi="Times New Roman" w:eastAsia="黑体"/>
          <w:sz w:val="32"/>
          <w:szCs w:val="32"/>
        </w:rPr>
      </w:pPr>
    </w:p>
    <w:p w14:paraId="68BDDC59">
      <w:pPr>
        <w:numPr>
          <w:ilvl w:val="0"/>
          <w:numId w:val="5"/>
        </w:numPr>
        <w:spacing w:line="600" w:lineRule="exact"/>
        <w:ind w:left="0" w:leftChars="0" w:firstLine="640" w:firstLineChars="200"/>
        <w:rPr>
          <w:rFonts w:eastAsia="黑体"/>
          <w:sz w:val="32"/>
          <w:szCs w:val="32"/>
        </w:rPr>
      </w:pPr>
      <w:r>
        <w:rPr>
          <w:rFonts w:eastAsia="黑体"/>
          <w:sz w:val="32"/>
          <w:szCs w:val="32"/>
        </w:rPr>
        <w:t>部门整体支出绩效情况</w:t>
      </w:r>
    </w:p>
    <w:p w14:paraId="0A9536F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kern w:val="0"/>
          <w:sz w:val="32"/>
          <w:szCs w:val="32"/>
        </w:rPr>
      </w:pPr>
      <w:r>
        <w:rPr>
          <w:rFonts w:hint="eastAsia" w:ascii="楷体" w:hAnsi="楷体" w:eastAsia="楷体" w:cs="楷体"/>
          <w:kern w:val="0"/>
          <w:sz w:val="32"/>
          <w:szCs w:val="32"/>
        </w:rPr>
        <w:t>（</w:t>
      </w:r>
      <w:r>
        <w:rPr>
          <w:rFonts w:hint="eastAsia" w:ascii="楷体" w:hAnsi="楷体" w:eastAsia="楷体" w:cs="楷体"/>
          <w:kern w:val="0"/>
          <w:sz w:val="32"/>
          <w:szCs w:val="32"/>
          <w:lang w:val="en-US" w:eastAsia="zh-CN"/>
        </w:rPr>
        <w:t>一</w:t>
      </w:r>
      <w:r>
        <w:rPr>
          <w:rFonts w:hint="eastAsia" w:ascii="楷体" w:hAnsi="楷体" w:eastAsia="楷体" w:cs="楷体"/>
          <w:kern w:val="0"/>
          <w:sz w:val="32"/>
          <w:szCs w:val="32"/>
        </w:rPr>
        <w:t>）</w:t>
      </w:r>
      <w:r>
        <w:rPr>
          <w:rFonts w:hint="eastAsia" w:ascii="楷体" w:hAnsi="楷体" w:eastAsia="楷体" w:cs="楷体"/>
          <w:sz w:val="32"/>
          <w:szCs w:val="32"/>
          <w:lang w:val="en-US" w:eastAsia="zh-CN"/>
        </w:rPr>
        <w:t>资金管理情况</w:t>
      </w:r>
    </w:p>
    <w:p w14:paraId="0C81384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sz w:val="32"/>
          <w:szCs w:val="24"/>
        </w:rPr>
        <w:t>从整体情况来看，我局严格按照年初预算进行部门整体支出。所有项目都详细制定了方案，严格按方案组织实施，并加强了监督。尤其是在专项经费支出上，专款专用，按项目实施计划的进度情况进行资金拨付，无截留、无挪用等现象。</w:t>
      </w:r>
    </w:p>
    <w:p w14:paraId="7D322DD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（二）绩效指标完成情况</w:t>
      </w:r>
    </w:p>
    <w:p w14:paraId="57447E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1.数量指标完成情况。</w:t>
      </w:r>
    </w:p>
    <w:p w14:paraId="7B99AFF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完成种质资源收集</w:t>
      </w:r>
      <w:r>
        <w:rPr>
          <w:rFonts w:hint="eastAsia" w:ascii="Times New Roman" w:hAnsi="Times New Roman" w:eastAsia="仿宋_GB2312" w:cs="Times New Roman"/>
          <w:sz w:val="32"/>
          <w:szCs w:val="32"/>
          <w:lang w:val="en-US" w:eastAsia="zh-CN"/>
        </w:rPr>
        <w:t>区900</w:t>
      </w:r>
      <w:r>
        <w:rPr>
          <w:rFonts w:hint="eastAsia" w:ascii="仿宋_GB2312" w:hAnsi="仿宋_GB2312" w:eastAsia="仿宋_GB2312" w:cs="仿宋_GB2312"/>
          <w:sz w:val="32"/>
          <w:szCs w:val="32"/>
          <w:lang w:val="en-US" w:eastAsia="zh-CN"/>
        </w:rPr>
        <w:t>亩</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试验</w:t>
      </w:r>
      <w:r>
        <w:rPr>
          <w:rFonts w:hint="eastAsia" w:ascii="Times New Roman" w:hAnsi="Times New Roman" w:eastAsia="仿宋_GB2312" w:cs="Times New Roman"/>
          <w:sz w:val="32"/>
          <w:szCs w:val="32"/>
          <w:lang w:val="en-US" w:eastAsia="zh-CN"/>
        </w:rPr>
        <w:t>林600</w:t>
      </w:r>
      <w:r>
        <w:rPr>
          <w:rFonts w:hint="eastAsia" w:ascii="仿宋_GB2312" w:hAnsi="仿宋_GB2312" w:eastAsia="仿宋_GB2312" w:cs="仿宋_GB2312"/>
          <w:sz w:val="32"/>
          <w:szCs w:val="32"/>
          <w:lang w:val="en-US" w:eastAsia="zh-CN"/>
        </w:rPr>
        <w:t>亩，非国家级公益林管护面</w:t>
      </w:r>
      <w:r>
        <w:rPr>
          <w:rFonts w:hint="eastAsia" w:ascii="Times New Roman" w:hAnsi="Times New Roman" w:eastAsia="仿宋_GB2312" w:cs="Times New Roman"/>
          <w:sz w:val="32"/>
          <w:szCs w:val="32"/>
          <w:lang w:val="en-US" w:eastAsia="zh-CN"/>
        </w:rPr>
        <w:t>积209</w:t>
      </w:r>
      <w:r>
        <w:rPr>
          <w:rFonts w:hint="eastAsia" w:ascii="仿宋_GB2312" w:hAnsi="仿宋_GB2312" w:eastAsia="仿宋_GB2312" w:cs="仿宋_GB2312"/>
          <w:sz w:val="32"/>
          <w:szCs w:val="32"/>
          <w:lang w:val="en-US" w:eastAsia="zh-CN"/>
        </w:rPr>
        <w:t>亩，购置消防水车一台，松</w:t>
      </w:r>
      <w:r>
        <w:rPr>
          <w:rFonts w:hint="eastAsia" w:ascii="Times New Roman" w:hAnsi="Times New Roman" w:eastAsia="仿宋_GB2312" w:cs="Times New Roman"/>
          <w:sz w:val="32"/>
          <w:szCs w:val="32"/>
          <w:lang w:val="en-US" w:eastAsia="zh-CN"/>
        </w:rPr>
        <w:t>林720</w:t>
      </w:r>
      <w:r>
        <w:rPr>
          <w:rFonts w:hint="eastAsia" w:ascii="仿宋_GB2312" w:hAnsi="仿宋_GB2312" w:eastAsia="仿宋_GB2312" w:cs="仿宋_GB2312"/>
          <w:sz w:val="32"/>
          <w:szCs w:val="32"/>
          <w:lang w:val="en-US" w:eastAsia="zh-CN"/>
        </w:rPr>
        <w:t>亩监测管护，造林面</w:t>
      </w:r>
      <w:r>
        <w:rPr>
          <w:rFonts w:hint="eastAsia" w:ascii="Times New Roman" w:hAnsi="Times New Roman" w:eastAsia="仿宋_GB2312" w:cs="Times New Roman"/>
          <w:sz w:val="32"/>
          <w:szCs w:val="32"/>
          <w:lang w:val="en-US" w:eastAsia="zh-CN"/>
        </w:rPr>
        <w:t>积8700</w:t>
      </w:r>
      <w:r>
        <w:rPr>
          <w:rFonts w:hint="eastAsia" w:ascii="仿宋_GB2312" w:hAnsi="仿宋_GB2312" w:eastAsia="仿宋_GB2312" w:cs="仿宋_GB2312"/>
          <w:sz w:val="32"/>
          <w:szCs w:val="32"/>
          <w:lang w:val="en-US" w:eastAsia="zh-CN"/>
        </w:rPr>
        <w:t>亩，森林抚育面</w:t>
      </w:r>
      <w:r>
        <w:rPr>
          <w:rFonts w:hint="eastAsia" w:ascii="Times New Roman" w:hAnsi="Times New Roman" w:eastAsia="仿宋_GB2312" w:cs="Times New Roman"/>
          <w:sz w:val="32"/>
          <w:szCs w:val="32"/>
          <w:lang w:val="en-US" w:eastAsia="zh-CN"/>
        </w:rPr>
        <w:t>积2340</w:t>
      </w:r>
      <w:r>
        <w:rPr>
          <w:rFonts w:hint="eastAsia" w:ascii="仿宋_GB2312" w:hAnsi="仿宋_GB2312" w:eastAsia="仿宋_GB2312" w:cs="仿宋_GB2312"/>
          <w:sz w:val="32"/>
          <w:szCs w:val="32"/>
          <w:lang w:val="en-US" w:eastAsia="zh-CN"/>
        </w:rPr>
        <w:t>亩。完成天然林抚育管护</w:t>
      </w:r>
      <w:r>
        <w:rPr>
          <w:rFonts w:hint="eastAsia" w:ascii="Times New Roman" w:hAnsi="Times New Roman" w:eastAsia="仿宋_GB2312" w:cs="Times New Roman"/>
          <w:sz w:val="32"/>
          <w:szCs w:val="32"/>
          <w:lang w:val="en-US" w:eastAsia="zh-CN"/>
        </w:rPr>
        <w:t>350亩</w:t>
      </w:r>
      <w:r>
        <w:rPr>
          <w:rFonts w:hint="eastAsia" w:ascii="仿宋_GB2312" w:hAnsi="仿宋_GB2312" w:eastAsia="仿宋_GB2312" w:cs="仿宋_GB2312"/>
          <w:sz w:val="32"/>
          <w:szCs w:val="32"/>
          <w:lang w:val="en-US" w:eastAsia="zh-CN"/>
        </w:rPr>
        <w:t>，国有林抚育管护</w:t>
      </w:r>
      <w:r>
        <w:rPr>
          <w:rFonts w:hint="eastAsia" w:ascii="Times New Roman" w:hAnsi="Times New Roman" w:eastAsia="仿宋_GB2312" w:cs="Times New Roman"/>
          <w:sz w:val="32"/>
          <w:szCs w:val="32"/>
          <w:lang w:val="en-US" w:eastAsia="zh-CN"/>
        </w:rPr>
        <w:t>436亩</w:t>
      </w:r>
      <w:r>
        <w:rPr>
          <w:rFonts w:hint="eastAsia" w:ascii="仿宋_GB2312" w:hAnsi="仿宋_GB2312" w:eastAsia="仿宋_GB2312" w:cs="仿宋_GB2312"/>
          <w:sz w:val="32"/>
          <w:szCs w:val="32"/>
          <w:lang w:val="en-US" w:eastAsia="zh-CN"/>
        </w:rPr>
        <w:t>，收集保存</w:t>
      </w:r>
      <w:r>
        <w:rPr>
          <w:rFonts w:hint="eastAsia" w:ascii="Times New Roman" w:hAnsi="Times New Roman" w:eastAsia="仿宋_GB2312" w:cs="Times New Roman"/>
          <w:sz w:val="32"/>
          <w:szCs w:val="32"/>
          <w:lang w:val="en-US" w:eastAsia="zh-CN"/>
        </w:rPr>
        <w:t>24</w:t>
      </w:r>
      <w:r>
        <w:rPr>
          <w:rFonts w:hint="eastAsia" w:ascii="仿宋_GB2312" w:hAnsi="仿宋_GB2312" w:eastAsia="仿宋_GB2312" w:cs="仿宋_GB2312"/>
          <w:sz w:val="32"/>
          <w:szCs w:val="32"/>
          <w:lang w:val="en-US" w:eastAsia="zh-CN"/>
        </w:rPr>
        <w:t>份水松种质资源，建</w:t>
      </w:r>
      <w:r>
        <w:rPr>
          <w:rFonts w:hint="eastAsia" w:ascii="Times New Roman" w:hAnsi="Times New Roman" w:eastAsia="仿宋_GB2312" w:cs="Times New Roman"/>
          <w:sz w:val="32"/>
          <w:szCs w:val="32"/>
          <w:lang w:val="en-US" w:eastAsia="zh-CN"/>
        </w:rPr>
        <w:t>设5</w:t>
      </w:r>
      <w:r>
        <w:rPr>
          <w:rFonts w:hint="eastAsia" w:ascii="仿宋_GB2312" w:hAnsi="仿宋_GB2312" w:eastAsia="仿宋_GB2312" w:cs="仿宋_GB2312"/>
          <w:sz w:val="32"/>
          <w:szCs w:val="32"/>
          <w:lang w:val="en-US" w:eastAsia="zh-CN"/>
        </w:rPr>
        <w:t>亩繁育圃，建立</w:t>
      </w:r>
      <w:r>
        <w:rPr>
          <w:rFonts w:hint="eastAsia" w:ascii="Times New Roman" w:hAnsi="Times New Roman" w:eastAsia="仿宋_GB2312" w:cs="Times New Roman"/>
          <w:sz w:val="32"/>
          <w:szCs w:val="32"/>
          <w:lang w:val="en-US" w:eastAsia="zh-CN"/>
        </w:rPr>
        <w:t>80</w:t>
      </w:r>
      <w:r>
        <w:rPr>
          <w:rFonts w:hint="eastAsia" w:ascii="仿宋_GB2312" w:hAnsi="仿宋_GB2312" w:eastAsia="仿宋_GB2312" w:cs="仿宋_GB2312"/>
          <w:sz w:val="32"/>
          <w:szCs w:val="32"/>
          <w:lang w:val="en-US" w:eastAsia="zh-CN"/>
        </w:rPr>
        <w:t>亩水松迁地保护试验基地，水松种质保存</w:t>
      </w:r>
      <w:r>
        <w:rPr>
          <w:rFonts w:hint="eastAsia" w:ascii="Times New Roman" w:hAnsi="Times New Roman" w:eastAsia="仿宋_GB2312" w:cs="Times New Roman"/>
          <w:sz w:val="32"/>
          <w:szCs w:val="32"/>
          <w:lang w:val="en-US" w:eastAsia="zh-CN"/>
        </w:rPr>
        <w:t>率82</w:t>
      </w:r>
      <w:r>
        <w:rPr>
          <w:rFonts w:hint="eastAsia" w:ascii="仿宋_GB2312" w:hAnsi="仿宋_GB2312" w:eastAsia="仿宋_GB2312" w:cs="仿宋_GB2312"/>
          <w:sz w:val="32"/>
          <w:szCs w:val="32"/>
          <w:lang w:val="en-US" w:eastAsia="zh-CN"/>
        </w:rPr>
        <w:t>%。</w:t>
      </w:r>
    </w:p>
    <w:p w14:paraId="742D892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2.质量指标完成情况。</w:t>
      </w:r>
    </w:p>
    <w:p w14:paraId="251083D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天然林资源森林蓄积量持续增长。造林完成合格率≥</w:t>
      </w:r>
      <w:r>
        <w:rPr>
          <w:rFonts w:hint="eastAsia" w:ascii="Times New Roman" w:hAnsi="Times New Roman" w:eastAsia="仿宋_GB2312" w:cs="Times New Roman"/>
          <w:sz w:val="32"/>
          <w:szCs w:val="32"/>
          <w:lang w:val="en-US" w:eastAsia="zh-CN"/>
        </w:rPr>
        <w:t>90</w:t>
      </w:r>
      <w:r>
        <w:rPr>
          <w:rFonts w:hint="eastAsia" w:ascii="仿宋_GB2312" w:hAnsi="仿宋_GB2312" w:eastAsia="仿宋_GB2312" w:cs="仿宋_GB2312"/>
          <w:sz w:val="32"/>
          <w:szCs w:val="32"/>
          <w:lang w:val="en-US" w:eastAsia="zh-CN"/>
        </w:rPr>
        <w:t>%，森林抚育合格率≥</w:t>
      </w:r>
      <w:r>
        <w:rPr>
          <w:rFonts w:hint="eastAsia" w:ascii="Times New Roman" w:hAnsi="Times New Roman" w:eastAsia="仿宋_GB2312" w:cs="Times New Roman"/>
          <w:sz w:val="32"/>
          <w:szCs w:val="32"/>
          <w:lang w:val="en-US" w:eastAsia="zh-CN"/>
        </w:rPr>
        <w:t>90</w:t>
      </w:r>
      <w:r>
        <w:rPr>
          <w:rFonts w:hint="eastAsia" w:ascii="仿宋_GB2312" w:hAnsi="仿宋_GB2312" w:eastAsia="仿宋_GB2312" w:cs="仿宋_GB2312"/>
          <w:sz w:val="32"/>
          <w:szCs w:val="32"/>
          <w:lang w:val="en-US" w:eastAsia="zh-CN"/>
        </w:rPr>
        <w:t>%，森林火灾受害率≤</w:t>
      </w:r>
      <w:r>
        <w:rPr>
          <w:rFonts w:hint="eastAsia" w:ascii="Times New Roman" w:hAnsi="Times New Roman" w:eastAsia="仿宋_GB2312" w:cs="Times New Roman"/>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9</w:t>
      </w:r>
      <w:r>
        <w:rPr>
          <w:rFonts w:hint="eastAsia" w:ascii="仿宋_GB2312" w:hAnsi="仿宋_GB2312" w:eastAsia="仿宋_GB2312" w:cs="仿宋_GB2312"/>
          <w:sz w:val="32"/>
          <w:szCs w:val="32"/>
          <w:lang w:val="en-US" w:eastAsia="zh-CN"/>
        </w:rPr>
        <w:t>%，主要林业有害生物成灾率≤</w:t>
      </w:r>
      <w:r>
        <w:rPr>
          <w:rFonts w:hint="eastAsia" w:ascii="Times New Roman" w:hAnsi="Times New Roman" w:eastAsia="仿宋_GB2312" w:cs="Times New Roman"/>
          <w:sz w:val="32"/>
          <w:szCs w:val="32"/>
          <w:lang w:val="en-US" w:eastAsia="zh-CN"/>
        </w:rPr>
        <w:t>0</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w:t>
      </w:r>
    </w:p>
    <w:p w14:paraId="3485AD1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3.时效指标完成情况。</w:t>
      </w:r>
    </w:p>
    <w:p w14:paraId="33230B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当期任务完成</w:t>
      </w:r>
      <w:r>
        <w:rPr>
          <w:rFonts w:hint="eastAsia" w:ascii="Times New Roman" w:hAnsi="Times New Roman" w:eastAsia="仿宋_GB2312" w:cs="Times New Roman"/>
          <w:sz w:val="32"/>
          <w:szCs w:val="32"/>
          <w:lang w:val="en-US" w:eastAsia="zh-CN"/>
        </w:rPr>
        <w:t>率100</w:t>
      </w:r>
      <w:r>
        <w:rPr>
          <w:rFonts w:hint="eastAsia" w:ascii="仿宋_GB2312" w:hAnsi="仿宋_GB2312" w:eastAsia="仿宋_GB2312" w:cs="仿宋_GB2312"/>
          <w:sz w:val="32"/>
          <w:szCs w:val="32"/>
          <w:lang w:val="en-US" w:eastAsia="zh-CN"/>
        </w:rPr>
        <w:t>%。</w:t>
      </w:r>
    </w:p>
    <w:p w14:paraId="32D990B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4.成本指标完成情况。</w:t>
      </w:r>
    </w:p>
    <w:p w14:paraId="328CAB0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天然林停伐补助标准</w:t>
      </w:r>
      <w:r>
        <w:rPr>
          <w:rFonts w:hint="eastAsia" w:ascii="Times New Roman" w:hAnsi="Times New Roman" w:eastAsia="仿宋_GB2312" w:cs="Times New Roman"/>
          <w:sz w:val="32"/>
          <w:szCs w:val="32"/>
          <w:lang w:val="en-US" w:eastAsia="zh-CN"/>
        </w:rPr>
        <w:t>286元</w:t>
      </w:r>
      <w:r>
        <w:rPr>
          <w:rFonts w:hint="eastAsia" w:ascii="仿宋_GB2312" w:hAnsi="仿宋_GB2312" w:eastAsia="仿宋_GB2312" w:cs="仿宋_GB2312"/>
          <w:sz w:val="32"/>
          <w:szCs w:val="32"/>
          <w:lang w:val="en-US" w:eastAsia="zh-CN"/>
        </w:rPr>
        <w:t>/亩；国有林管护中央财政补助标</w:t>
      </w:r>
      <w:r>
        <w:rPr>
          <w:rFonts w:hint="eastAsia" w:ascii="Times New Roman" w:hAnsi="Times New Roman" w:eastAsia="仿宋_GB2312" w:cs="Times New Roman"/>
          <w:sz w:val="32"/>
          <w:szCs w:val="32"/>
          <w:lang w:val="en-US" w:eastAsia="zh-CN"/>
        </w:rPr>
        <w:t>准10元</w:t>
      </w:r>
      <w:r>
        <w:rPr>
          <w:rFonts w:hint="eastAsia" w:ascii="仿宋_GB2312" w:hAnsi="仿宋_GB2312" w:eastAsia="仿宋_GB2312" w:cs="仿宋_GB2312"/>
          <w:sz w:val="32"/>
          <w:szCs w:val="32"/>
          <w:lang w:val="en-US" w:eastAsia="zh-CN"/>
        </w:rPr>
        <w:t>/亩；林木种质资源库补助标</w:t>
      </w:r>
      <w:r>
        <w:rPr>
          <w:rFonts w:hint="eastAsia" w:ascii="Times New Roman" w:hAnsi="Times New Roman" w:eastAsia="仿宋_GB2312" w:cs="Times New Roman"/>
          <w:sz w:val="32"/>
          <w:szCs w:val="32"/>
          <w:lang w:val="en-US" w:eastAsia="zh-CN"/>
        </w:rPr>
        <w:t>准600</w:t>
      </w:r>
      <w:r>
        <w:rPr>
          <w:rFonts w:hint="eastAsia" w:ascii="仿宋_GB2312" w:hAnsi="仿宋_GB2312" w:eastAsia="仿宋_GB2312" w:cs="仿宋_GB2312"/>
          <w:sz w:val="32"/>
          <w:szCs w:val="32"/>
          <w:lang w:val="en-US" w:eastAsia="zh-CN"/>
        </w:rPr>
        <w:t>元/亩，试验示范林补助标准</w:t>
      </w:r>
      <w:r>
        <w:rPr>
          <w:rFonts w:hint="eastAsia" w:ascii="Times New Roman" w:hAnsi="Times New Roman" w:eastAsia="仿宋_GB2312" w:cs="Times New Roman"/>
          <w:sz w:val="32"/>
          <w:szCs w:val="32"/>
          <w:lang w:val="en-US" w:eastAsia="zh-CN"/>
        </w:rPr>
        <w:t>100</w:t>
      </w:r>
      <w:r>
        <w:rPr>
          <w:rFonts w:hint="eastAsia" w:ascii="仿宋_GB2312" w:hAnsi="仿宋_GB2312" w:eastAsia="仿宋_GB2312" w:cs="仿宋_GB2312"/>
          <w:sz w:val="32"/>
          <w:szCs w:val="32"/>
          <w:lang w:val="en-US" w:eastAsia="zh-CN"/>
        </w:rPr>
        <w:t>元/亩；非国有国家级公益林管护中央财政补助标准</w:t>
      </w:r>
      <w:r>
        <w:rPr>
          <w:rFonts w:hint="eastAsia" w:ascii="Times New Roman" w:hAnsi="Times New Roman" w:eastAsia="仿宋_GB2312" w:cs="Times New Roman"/>
          <w:sz w:val="32"/>
          <w:szCs w:val="32"/>
          <w:lang w:val="en-US" w:eastAsia="zh-CN"/>
        </w:rPr>
        <w:t>16</w:t>
      </w:r>
      <w:r>
        <w:rPr>
          <w:rFonts w:hint="eastAsia" w:ascii="仿宋_GB2312" w:hAnsi="仿宋_GB2312" w:eastAsia="仿宋_GB2312" w:cs="仿宋_GB2312"/>
          <w:sz w:val="32"/>
          <w:szCs w:val="32"/>
          <w:lang w:val="en-US" w:eastAsia="zh-CN"/>
        </w:rPr>
        <w:t>元/亩；中央财政森林抚育补助标准</w:t>
      </w:r>
      <w:r>
        <w:rPr>
          <w:rFonts w:hint="eastAsia" w:ascii="Times New Roman" w:hAnsi="Times New Roman" w:eastAsia="仿宋_GB2312" w:cs="Times New Roman"/>
          <w:sz w:val="32"/>
          <w:szCs w:val="32"/>
          <w:lang w:val="en-US" w:eastAsia="zh-CN"/>
        </w:rPr>
        <w:t>200</w:t>
      </w:r>
      <w:r>
        <w:rPr>
          <w:rFonts w:hint="eastAsia" w:ascii="仿宋_GB2312" w:hAnsi="仿宋_GB2312" w:eastAsia="仿宋_GB2312" w:cs="仿宋_GB2312"/>
          <w:sz w:val="32"/>
          <w:szCs w:val="32"/>
          <w:lang w:val="en-US" w:eastAsia="zh-CN"/>
        </w:rPr>
        <w:t>元/亩，中央财政造林补助标准</w:t>
      </w:r>
      <w:r>
        <w:rPr>
          <w:rFonts w:hint="eastAsia" w:ascii="Times New Roman" w:hAnsi="Times New Roman" w:eastAsia="仿宋_GB2312" w:cs="Times New Roman"/>
          <w:sz w:val="32"/>
          <w:szCs w:val="32"/>
          <w:lang w:val="en-US" w:eastAsia="zh-CN"/>
        </w:rPr>
        <w:t>300</w:t>
      </w:r>
      <w:r>
        <w:rPr>
          <w:rFonts w:hint="eastAsia" w:ascii="仿宋_GB2312" w:hAnsi="仿宋_GB2312" w:eastAsia="仿宋_GB2312" w:cs="仿宋_GB2312"/>
          <w:sz w:val="32"/>
          <w:szCs w:val="32"/>
          <w:lang w:val="en-US" w:eastAsia="zh-CN"/>
        </w:rPr>
        <w:t>元/亩。</w:t>
      </w:r>
    </w:p>
    <w:p w14:paraId="543D7F1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5.生态效益指标完成情况。</w:t>
      </w:r>
    </w:p>
    <w:p w14:paraId="18782BF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天然林全面停伐补助，稳定了本市生态系统，增加了林木蓄积，生态效益显著。林业有害生物无公害防治率≥</w:t>
      </w:r>
      <w:r>
        <w:rPr>
          <w:rFonts w:hint="eastAsia" w:ascii="Times New Roman" w:hAnsi="Times New Roman" w:eastAsia="仿宋_GB2312" w:cs="Times New Roman"/>
          <w:sz w:val="32"/>
          <w:szCs w:val="32"/>
          <w:lang w:val="en-US" w:eastAsia="zh-CN"/>
        </w:rPr>
        <w:t>95</w:t>
      </w:r>
      <w:r>
        <w:rPr>
          <w:rFonts w:hint="eastAsia" w:ascii="仿宋_GB2312" w:hAnsi="仿宋_GB2312" w:eastAsia="仿宋_GB2312" w:cs="仿宋_GB2312"/>
          <w:sz w:val="32"/>
          <w:szCs w:val="32"/>
          <w:lang w:val="en-US" w:eastAsia="zh-CN"/>
        </w:rPr>
        <w:t>%，森林、湿地生态系统生态效益发挥明显；</w:t>
      </w:r>
    </w:p>
    <w:p w14:paraId="27A77E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6.可持续影响指标完成情况。</w:t>
      </w:r>
    </w:p>
    <w:p w14:paraId="25B29B9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林业草原生态保护恢复项目，对当地林农增收、民生改善及对区域生态发展起到了持续的积极推动作用。森林、湿地、荒漠生态系统功能改善可持续影响明显。</w:t>
      </w:r>
    </w:p>
    <w:p w14:paraId="1E9468C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7.服务对象满意度指标完成情况。</w:t>
      </w:r>
    </w:p>
    <w:p w14:paraId="1DB6D00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经调查，林区职工和周边群众满意度≥</w:t>
      </w:r>
      <w:r>
        <w:rPr>
          <w:rFonts w:hint="eastAsia" w:ascii="Times New Roman" w:hAnsi="Times New Roman" w:eastAsia="仿宋_GB2312" w:cs="Times New Roman"/>
          <w:sz w:val="32"/>
          <w:szCs w:val="32"/>
          <w:lang w:val="en-US" w:eastAsia="zh-CN"/>
        </w:rPr>
        <w:t>90</w:t>
      </w:r>
      <w:r>
        <w:rPr>
          <w:rFonts w:hint="eastAsia" w:ascii="仿宋_GB2312" w:hAnsi="仿宋_GB2312" w:eastAsia="仿宋_GB2312" w:cs="仿宋_GB2312"/>
          <w:sz w:val="32"/>
          <w:szCs w:val="32"/>
          <w:lang w:val="en-US" w:eastAsia="zh-CN"/>
        </w:rPr>
        <w:t>%。</w:t>
      </w:r>
    </w:p>
    <w:p w14:paraId="10D546BD">
      <w:pPr>
        <w:pStyle w:val="13"/>
        <w:numPr>
          <w:ilvl w:val="0"/>
          <w:numId w:val="6"/>
        </w:numPr>
        <w:spacing w:line="600" w:lineRule="exact"/>
        <w:ind w:firstLine="640"/>
        <w:rPr>
          <w:rFonts w:ascii="Times New Roman" w:hAnsi="Times New Roman" w:eastAsia="黑体"/>
          <w:sz w:val="32"/>
          <w:szCs w:val="32"/>
        </w:rPr>
      </w:pPr>
      <w:r>
        <w:rPr>
          <w:rFonts w:ascii="Times New Roman" w:hAnsi="Times New Roman" w:eastAsia="黑体"/>
          <w:sz w:val="32"/>
          <w:szCs w:val="32"/>
        </w:rPr>
        <w:t>存在的问题及原因分析</w:t>
      </w:r>
    </w:p>
    <w:p w14:paraId="7A5B59E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较好地完成了各个项目的任务，没有偏离绩效目标。</w:t>
      </w:r>
    </w:p>
    <w:p w14:paraId="4B560954">
      <w:pPr>
        <w:numPr>
          <w:ilvl w:val="0"/>
          <w:numId w:val="6"/>
        </w:numPr>
        <w:spacing w:line="600" w:lineRule="exact"/>
        <w:ind w:left="0" w:leftChars="0" w:firstLine="640" w:firstLineChars="200"/>
        <w:rPr>
          <w:rFonts w:eastAsia="黑体"/>
          <w:sz w:val="32"/>
          <w:szCs w:val="32"/>
        </w:rPr>
      </w:pPr>
      <w:r>
        <w:rPr>
          <w:rFonts w:eastAsia="黑体"/>
          <w:sz w:val="32"/>
          <w:szCs w:val="32"/>
        </w:rPr>
        <w:t>下一步改进措施</w:t>
      </w:r>
    </w:p>
    <w:p w14:paraId="5DAB2D0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Times New Roman"/>
          <w:sz w:val="32"/>
          <w:szCs w:val="24"/>
        </w:rPr>
      </w:pPr>
      <w:r>
        <w:rPr>
          <w:rFonts w:hint="eastAsia" w:ascii="仿宋" w:hAnsi="仿宋" w:eastAsia="仿宋" w:cs="Times New Roman"/>
          <w:sz w:val="32"/>
          <w:szCs w:val="24"/>
          <w:lang w:eastAsia="zh-CN"/>
        </w:rPr>
        <w:t>下一步将</w:t>
      </w:r>
      <w:r>
        <w:rPr>
          <w:rFonts w:hint="eastAsia" w:ascii="仿宋" w:hAnsi="仿宋" w:eastAsia="仿宋" w:cs="Times New Roman"/>
          <w:sz w:val="32"/>
          <w:szCs w:val="24"/>
        </w:rPr>
        <w:t>优化财政支出结构，严格控制一般性支出。</w:t>
      </w:r>
    </w:p>
    <w:p w14:paraId="2571EA77">
      <w:pPr>
        <w:numPr>
          <w:ilvl w:val="0"/>
          <w:numId w:val="6"/>
        </w:numPr>
        <w:spacing w:line="600" w:lineRule="exact"/>
        <w:ind w:left="0" w:leftChars="0" w:firstLine="640" w:firstLineChars="200"/>
        <w:rPr>
          <w:rFonts w:eastAsia="黑体"/>
          <w:sz w:val="32"/>
          <w:szCs w:val="32"/>
        </w:rPr>
      </w:pPr>
      <w:r>
        <w:rPr>
          <w:rFonts w:eastAsia="黑体"/>
          <w:sz w:val="32"/>
          <w:szCs w:val="32"/>
        </w:rPr>
        <w:t>绩效自评结果拟应用和公开情况</w:t>
      </w:r>
    </w:p>
    <w:p w14:paraId="5E2A5DC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lang w:eastAsia="zh-CN"/>
        </w:rPr>
        <w:t>（一）</w:t>
      </w:r>
      <w:r>
        <w:rPr>
          <w:rFonts w:hint="eastAsia" w:ascii="楷体" w:hAnsi="楷体" w:eastAsia="楷体" w:cs="楷体"/>
          <w:kern w:val="0"/>
          <w:sz w:val="32"/>
          <w:szCs w:val="32"/>
          <w:lang w:val="en-US" w:eastAsia="zh-CN"/>
        </w:rPr>
        <w:t>绩效自评结果拟应用</w:t>
      </w:r>
    </w:p>
    <w:p w14:paraId="49D6F1DD">
      <w:pPr>
        <w:spacing w:line="60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经自评，2023年度沅江市林业局整体支出绩效自评报告综合评价自评得</w:t>
      </w:r>
      <w:r>
        <w:rPr>
          <w:rFonts w:hint="eastAsia" w:ascii="Times New Roman" w:hAnsi="Times New Roman" w:eastAsia="仿宋_GB2312" w:cs="Times New Roman"/>
          <w:sz w:val="32"/>
          <w:szCs w:val="32"/>
          <w:lang w:val="en-US" w:eastAsia="zh-CN"/>
        </w:rPr>
        <w:t>分为90</w:t>
      </w:r>
      <w:r>
        <w:rPr>
          <w:rFonts w:hint="eastAsia" w:ascii="仿宋_GB2312" w:hAnsi="仿宋_GB2312" w:eastAsia="仿宋_GB2312" w:cs="仿宋_GB2312"/>
          <w:sz w:val="32"/>
          <w:szCs w:val="32"/>
          <w:lang w:val="en-US" w:eastAsia="zh-CN"/>
        </w:rPr>
        <w:t>分，自评结果为“优”。对绩效自评结果进行研究分析，确保财政资金能发挥积极作用，在保持和改善生态环境的同时，促进产业健康发展。</w:t>
      </w:r>
    </w:p>
    <w:p w14:paraId="1ECEC25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kern w:val="0"/>
          <w:sz w:val="32"/>
          <w:szCs w:val="32"/>
          <w:lang w:val="en-US" w:eastAsia="zh-CN"/>
        </w:rPr>
      </w:pPr>
      <w:r>
        <w:rPr>
          <w:rFonts w:hint="eastAsia" w:ascii="楷体" w:hAnsi="楷体" w:eastAsia="楷体" w:cs="楷体"/>
          <w:kern w:val="0"/>
          <w:sz w:val="32"/>
          <w:szCs w:val="32"/>
          <w:lang w:val="en-US" w:eastAsia="zh-CN"/>
        </w:rPr>
        <w:t>（二）自评结果的公开情况</w:t>
      </w:r>
    </w:p>
    <w:p w14:paraId="4B743D6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eastAsia="黑体"/>
          <w:sz w:val="32"/>
          <w:szCs w:val="32"/>
        </w:rPr>
      </w:pPr>
      <w:r>
        <w:rPr>
          <w:rFonts w:hint="eastAsia" w:ascii="仿宋_GB2312" w:hAnsi="仿宋_GB2312" w:eastAsia="仿宋_GB2312" w:cs="仿宋_GB2312"/>
          <w:sz w:val="32"/>
          <w:szCs w:val="32"/>
          <w:lang w:val="en-US" w:eastAsia="zh-CN"/>
        </w:rPr>
        <w:t>本次绩效自评结果拟在沅江市公众信息网公开，接受社会公众监督。</w:t>
      </w:r>
    </w:p>
    <w:p w14:paraId="7147B88F">
      <w:pPr>
        <w:spacing w:line="600" w:lineRule="exact"/>
        <w:ind w:firstLine="640" w:firstLineChars="200"/>
      </w:pPr>
      <w:r>
        <w:rPr>
          <w:rFonts w:hint="eastAsia" w:eastAsia="黑体"/>
          <w:sz w:val="32"/>
          <w:szCs w:val="32"/>
        </w:rPr>
        <w:t>十、</w:t>
      </w:r>
      <w:r>
        <w:rPr>
          <w:rFonts w:eastAsia="黑体"/>
          <w:sz w:val="32"/>
          <w:szCs w:val="32"/>
        </w:rPr>
        <w:t>其他需要说明的情况</w:t>
      </w:r>
    </w:p>
    <w:p w14:paraId="0FEB046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无其他需要说明的情况。</w:t>
      </w:r>
    </w:p>
    <w:p w14:paraId="3E315491">
      <w:pPr>
        <w:tabs>
          <w:tab w:val="left" w:pos="1603"/>
        </w:tabs>
        <w:jc w:val="left"/>
        <w:rPr>
          <w:rFonts w:ascii="方正楷体_GBK" w:hAnsi="方正楷体_GBK" w:eastAsia="方正楷体_GBK" w:cs="方正楷体_GBK"/>
          <w:sz w:val="32"/>
          <w:szCs w:val="32"/>
        </w:rPr>
      </w:pPr>
    </w:p>
    <w:p w14:paraId="1CC4C558">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065F5F21">
      <w:pPr>
        <w:pStyle w:val="12"/>
        <w:jc w:val="center"/>
        <w:rPr>
          <w:sz w:val="72"/>
          <w:szCs w:val="72"/>
        </w:rPr>
      </w:pPr>
    </w:p>
    <w:p w14:paraId="45D062D2">
      <w:pPr>
        <w:pStyle w:val="12"/>
        <w:jc w:val="center"/>
        <w:rPr>
          <w:sz w:val="72"/>
          <w:szCs w:val="72"/>
        </w:rPr>
      </w:pPr>
    </w:p>
    <w:p w14:paraId="7D27AE87">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方正楷体_GBK">
    <w:altName w:val="Arial Unicode MS"/>
    <w:panose1 w:val="02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637FD8"/>
    <w:multiLevelType w:val="singleLevel"/>
    <w:tmpl w:val="9F637FD8"/>
    <w:lvl w:ilvl="0" w:tentative="0">
      <w:start w:val="4"/>
      <w:numFmt w:val="chineseCounting"/>
      <w:suff w:val="nothing"/>
      <w:lvlText w:val="%1、"/>
      <w:lvlJc w:val="left"/>
      <w:rPr>
        <w:rFonts w:hint="eastAsia"/>
      </w:rPr>
    </w:lvl>
  </w:abstractNum>
  <w:abstractNum w:abstractNumId="1">
    <w:nsid w:val="BFFDC6E6"/>
    <w:multiLevelType w:val="singleLevel"/>
    <w:tmpl w:val="BFFDC6E6"/>
    <w:lvl w:ilvl="0" w:tentative="0">
      <w:start w:val="7"/>
      <w:numFmt w:val="chineseCounting"/>
      <w:suff w:val="nothing"/>
      <w:lvlText w:val="%1、"/>
      <w:lvlJc w:val="left"/>
      <w:rPr>
        <w:rFonts w:hint="eastAsia"/>
      </w:rPr>
    </w:lvl>
  </w:abstractNum>
  <w:abstractNum w:abstractNumId="2">
    <w:nsid w:val="C441C1A1"/>
    <w:multiLevelType w:val="singleLevel"/>
    <w:tmpl w:val="C441C1A1"/>
    <w:lvl w:ilvl="0" w:tentative="0">
      <w:start w:val="1"/>
      <w:numFmt w:val="chineseCounting"/>
      <w:suff w:val="nothing"/>
      <w:lvlText w:val="（%1）"/>
      <w:lvlJc w:val="left"/>
      <w:rPr>
        <w:rFonts w:hint="eastAsia"/>
      </w:rPr>
    </w:lvl>
  </w:abstractNum>
  <w:abstractNum w:abstractNumId="3">
    <w:nsid w:val="FBFD0F1B"/>
    <w:multiLevelType w:val="singleLevel"/>
    <w:tmpl w:val="FBFD0F1B"/>
    <w:lvl w:ilvl="0" w:tentative="0">
      <w:start w:val="1"/>
      <w:numFmt w:val="chineseCounting"/>
      <w:suff w:val="nothing"/>
      <w:lvlText w:val="%1、"/>
      <w:lvlJc w:val="left"/>
      <w:rPr>
        <w:rFonts w:hint="eastAsia"/>
      </w:r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7439DEA"/>
    <w:multiLevelType w:val="singleLevel"/>
    <w:tmpl w:val="37439DEA"/>
    <w:lvl w:ilvl="0" w:tentative="0">
      <w:start w:val="1"/>
      <w:numFmt w:val="chineseCounting"/>
      <w:suff w:val="nothing"/>
      <w:lvlText w:val="（%1）"/>
      <w:lvlJc w:val="left"/>
      <w:rPr>
        <w:rFonts w:hint="eastAsia"/>
      </w:rPr>
    </w:lvl>
  </w:abstractNum>
  <w:num w:numId="1">
    <w:abstractNumId w:val="4"/>
  </w:num>
  <w:num w:numId="2">
    <w:abstractNumId w:val="3"/>
  </w:num>
  <w:num w:numId="3">
    <w:abstractNumId w:val="2"/>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MTk0Yzg1ZGIxMzE1ZTA1MTE4ZDg0NzlmNjc0MD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98A5A7A"/>
    <w:rsid w:val="1D97DEFF"/>
    <w:rsid w:val="1DFF72E5"/>
    <w:rsid w:val="1EFC6F07"/>
    <w:rsid w:val="23416F8B"/>
    <w:rsid w:val="2C4A2915"/>
    <w:rsid w:val="2FDF85B8"/>
    <w:rsid w:val="2FFFEE04"/>
    <w:rsid w:val="34DF85B0"/>
    <w:rsid w:val="3B8F36BC"/>
    <w:rsid w:val="491FF225"/>
    <w:rsid w:val="49BB0D55"/>
    <w:rsid w:val="4B0C6E2E"/>
    <w:rsid w:val="4EC210D8"/>
    <w:rsid w:val="4FFD214C"/>
    <w:rsid w:val="5777D4F5"/>
    <w:rsid w:val="59DD8326"/>
    <w:rsid w:val="5DEF592A"/>
    <w:rsid w:val="5FC6BB1E"/>
    <w:rsid w:val="5FF720F1"/>
    <w:rsid w:val="6606040A"/>
    <w:rsid w:val="67FF5C0B"/>
    <w:rsid w:val="6EFC0924"/>
    <w:rsid w:val="6FB74722"/>
    <w:rsid w:val="6FEF8B7E"/>
    <w:rsid w:val="70EF2477"/>
    <w:rsid w:val="71A6591B"/>
    <w:rsid w:val="737D59BA"/>
    <w:rsid w:val="73DB677D"/>
    <w:rsid w:val="77C37683"/>
    <w:rsid w:val="79FF515B"/>
    <w:rsid w:val="7E9E1962"/>
    <w:rsid w:val="7E9F11B4"/>
    <w:rsid w:val="7F37EC1E"/>
    <w:rsid w:val="7F5810F9"/>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 w:type="paragraph" w:customStyle="1" w:styleId="18">
    <w:name w:val="p0"/>
    <w:basedOn w:val="1"/>
    <w:qFormat/>
    <w:uiPriority w:val="0"/>
    <w:pPr>
      <w:widowControl/>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6804</Words>
  <Characters>7674</Characters>
  <Lines>63</Lines>
  <Paragraphs>18</Paragraphs>
  <TotalTime>8</TotalTime>
  <ScaleCrop>false</ScaleCrop>
  <LinksUpToDate>false</LinksUpToDate>
  <CharactersWithSpaces>8724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Administrator</cp:lastModifiedBy>
  <cp:lastPrinted>2024-08-08T10:20:00Z</cp:lastPrinted>
  <dcterms:modified xsi:type="dcterms:W3CDTF">2024-08-26T09:46:44Z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653CD88FD6644AABB1AD92C3F2BFE6CB_13</vt:lpwstr>
  </property>
</Properties>
</file>